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1074D" w14:textId="77777777" w:rsidR="0045788E" w:rsidRDefault="00EB110F" w:rsidP="0045788E">
      <w:pPr>
        <w:pStyle w:val="NormalWeb"/>
        <w:ind w:left="540"/>
        <w:jc w:val="center"/>
        <w:rPr>
          <w:b/>
          <w:sz w:val="24"/>
          <w:szCs w:val="24"/>
        </w:rPr>
      </w:pPr>
      <w:bookmarkStart w:id="0" w:name="lu32"/>
      <w:r w:rsidRPr="0045788E">
        <w:rPr>
          <w:b/>
          <w:sz w:val="24"/>
          <w:szCs w:val="24"/>
        </w:rPr>
        <w:t>律</w:t>
      </w:r>
      <w:r w:rsidR="0045788E">
        <w:rPr>
          <w:b/>
          <w:sz w:val="24"/>
          <w:szCs w:val="24"/>
        </w:rPr>
        <w:t xml:space="preserve"> / </w:t>
      </w:r>
      <w:proofErr w:type="spellStart"/>
      <w:r w:rsidR="0045788E">
        <w:rPr>
          <w:b/>
          <w:sz w:val="24"/>
          <w:szCs w:val="24"/>
        </w:rPr>
        <w:t>lü</w:t>
      </w:r>
      <w:proofErr w:type="spellEnd"/>
      <w:r w:rsidR="0045788E">
        <w:rPr>
          <w:b/>
          <w:sz w:val="24"/>
          <w:szCs w:val="24"/>
        </w:rPr>
        <w:t xml:space="preserve"> 32 </w:t>
      </w:r>
    </w:p>
    <w:p w14:paraId="4D302792" w14:textId="5C78C3F6" w:rsidR="00EB110F" w:rsidRPr="0045788E" w:rsidRDefault="0045788E" w:rsidP="0045788E">
      <w:pPr>
        <w:pStyle w:val="NormalWeb"/>
        <w:ind w:left="540"/>
        <w:jc w:val="center"/>
        <w:rPr>
          <w:b/>
          <w:sz w:val="24"/>
          <w:szCs w:val="24"/>
        </w:rPr>
      </w:pPr>
      <w:r>
        <w:rPr>
          <w:b/>
          <w:sz w:val="24"/>
          <w:szCs w:val="24"/>
        </w:rPr>
        <w:t>(</w:t>
      </w:r>
      <w:proofErr w:type="gramStart"/>
      <w:r w:rsidRPr="0045788E">
        <w:t>extrait</w:t>
      </w:r>
      <w:proofErr w:type="gramEnd"/>
      <w:r w:rsidRPr="0045788E">
        <w:t xml:space="preserve"> du site </w:t>
      </w:r>
      <w:hyperlink r:id="rId7" w:history="1">
        <w:r w:rsidRPr="0045788E">
          <w:rPr>
            <w:rStyle w:val="Lienhypertexte"/>
          </w:rPr>
          <w:t>http://lsc.chineselegalculture.org/Code/Da_Qing_luli_content</w:t>
        </w:r>
      </w:hyperlink>
      <w:r>
        <w:rPr>
          <w:b/>
          <w:sz w:val="24"/>
          <w:szCs w:val="24"/>
        </w:rPr>
        <w:t xml:space="preserve"> )</w:t>
      </w:r>
    </w:p>
    <w:p w14:paraId="4B6AF876" w14:textId="77777777" w:rsidR="00EB110F" w:rsidRDefault="00EB110F" w:rsidP="00EB110F">
      <w:pPr>
        <w:pStyle w:val="codetitle"/>
        <w:ind w:left="720"/>
        <w:rPr>
          <w:rFonts w:cs="Times New Roman"/>
        </w:rPr>
      </w:pPr>
      <w:proofErr w:type="spellStart"/>
      <w:r>
        <w:rPr>
          <w:rFonts w:cs="Times New Roman"/>
        </w:rPr>
        <w:t>Title</w:t>
      </w:r>
      <w:proofErr w:type="spellEnd"/>
      <w:r>
        <w:rPr>
          <w:rFonts w:cs="Times New Roman"/>
        </w:rPr>
        <w:t xml:space="preserve">: </w:t>
      </w:r>
      <w:proofErr w:type="spellStart"/>
      <w:r>
        <w:rPr>
          <w:rFonts w:cs="Times New Roman"/>
        </w:rPr>
        <w:t>Qinshu</w:t>
      </w:r>
      <w:proofErr w:type="spellEnd"/>
      <w:r>
        <w:rPr>
          <w:rFonts w:cs="Times New Roman"/>
        </w:rPr>
        <w:t xml:space="preserve"> </w:t>
      </w:r>
      <w:proofErr w:type="spellStart"/>
      <w:r>
        <w:rPr>
          <w:rFonts w:cs="Times New Roman"/>
        </w:rPr>
        <w:t>xiangwei</w:t>
      </w:r>
      <w:proofErr w:type="spellEnd"/>
      <w:r>
        <w:rPr>
          <w:rFonts w:cs="Times New Roman"/>
        </w:rPr>
        <w:t xml:space="preserve"> </w:t>
      </w:r>
      <w:proofErr w:type="spellStart"/>
      <w:r>
        <w:rPr>
          <w:rFonts w:cs="Times New Roman"/>
        </w:rPr>
        <w:t>rongyin</w:t>
      </w:r>
      <w:proofErr w:type="spellEnd"/>
      <w:r>
        <w:rPr>
          <w:rFonts w:cs="Times New Roman"/>
        </w:rPr>
        <w:t xml:space="preserve"> </w:t>
      </w:r>
      <w:r>
        <w:rPr>
          <w:rFonts w:cs="Times New Roman"/>
        </w:rPr>
        <w:t>親屬相為容隱</w:t>
      </w:r>
    </w:p>
    <w:p w14:paraId="658825E6" w14:textId="39E72E9D" w:rsidR="00EB110F" w:rsidRPr="00192B8B" w:rsidRDefault="00EB110F" w:rsidP="00192B8B">
      <w:pPr>
        <w:pStyle w:val="NormalWeb"/>
        <w:ind w:left="720"/>
      </w:pPr>
      <w:r w:rsidRPr="008D4F82">
        <w:rPr>
          <w:sz w:val="24"/>
          <w:szCs w:val="24"/>
        </w:rPr>
        <w:t>凡同居</w:t>
      </w:r>
      <w:r>
        <w:t>，</w:t>
      </w:r>
      <w:r w:rsidRPr="008D4F82">
        <w:t>同謂同財共居親屬，不限籍之同異，雖無服者亦是</w:t>
      </w:r>
      <w:r>
        <w:t xml:space="preserve">, </w:t>
      </w:r>
      <w:r w:rsidRPr="008D4F82">
        <w:rPr>
          <w:sz w:val="24"/>
          <w:szCs w:val="24"/>
        </w:rPr>
        <w:t>若大功以上親</w:t>
      </w:r>
      <w:r>
        <w:t>，謂另居大功以上親屬，係服重。</w:t>
      </w:r>
      <w:r w:rsidRPr="008D4F82">
        <w:rPr>
          <w:sz w:val="24"/>
          <w:szCs w:val="24"/>
        </w:rPr>
        <w:t>及外祖父母、外孫、妻之父母、女婿，若孫之婦、夫之兄弟，及兄弟妻</w:t>
      </w:r>
      <w:r>
        <w:t>，係恩重。</w:t>
      </w:r>
      <w:r w:rsidRPr="008D4F82">
        <w:rPr>
          <w:sz w:val="24"/>
          <w:szCs w:val="24"/>
        </w:rPr>
        <w:t>有罪</w:t>
      </w:r>
      <w:r>
        <w:t>，彼此得</w:t>
      </w:r>
      <w:r w:rsidRPr="008D4F82">
        <w:rPr>
          <w:sz w:val="24"/>
          <w:szCs w:val="24"/>
        </w:rPr>
        <w:t>相為容隱；奴婢、雇工人</w:t>
      </w:r>
      <w:r>
        <w:t>，義重</w:t>
      </w:r>
      <w:r>
        <w:t xml:space="preserve">, </w:t>
      </w:r>
      <w:r w:rsidRPr="008D4F82">
        <w:rPr>
          <w:sz w:val="24"/>
          <w:szCs w:val="24"/>
        </w:rPr>
        <w:t>為家長隱者，皆勿論</w:t>
      </w:r>
      <w:r>
        <w:t>。家長不得為奴婢、雇工人隱者，義當治其罪也。</w:t>
      </w:r>
      <w:r>
        <w:t xml:space="preserve"> </w:t>
      </w:r>
      <w:r w:rsidRPr="008D4F82">
        <w:rPr>
          <w:sz w:val="24"/>
          <w:szCs w:val="24"/>
        </w:rPr>
        <w:t>若漏泄其事，及通報消息，致令罪人隱匿逃避者</w:t>
      </w:r>
      <w:r>
        <w:t>，以其於法得相容隱，</w:t>
      </w:r>
      <w:r w:rsidRPr="008D4F82">
        <w:rPr>
          <w:sz w:val="24"/>
          <w:szCs w:val="24"/>
        </w:rPr>
        <w:t>亦不坐</w:t>
      </w:r>
      <w:r>
        <w:t>。謂有得相容隱之親屬犯罪，官司追捕，因而漏泄其事，及暗地通報消息與罪人，使令隱避逃走，故亦不坐。</w:t>
      </w:r>
      <w:r>
        <w:t xml:space="preserve"> </w:t>
      </w:r>
      <w:r w:rsidRPr="008D4F82">
        <w:rPr>
          <w:sz w:val="24"/>
          <w:szCs w:val="24"/>
        </w:rPr>
        <w:t>其小功以下相容隱，及漏泄其事者，減凡人三等，無服之親減一等</w:t>
      </w:r>
      <w:r>
        <w:t>。謂另居小功以下親屬。</w:t>
      </w:r>
      <w:r>
        <w:t xml:space="preserve"> </w:t>
      </w:r>
      <w:r w:rsidRPr="008D4F82">
        <w:rPr>
          <w:sz w:val="24"/>
          <w:szCs w:val="24"/>
        </w:rPr>
        <w:t>若犯謀叛以上者，不用此律</w:t>
      </w:r>
      <w:r>
        <w:t>。謂雖有服親屬，犯謀反、謀大逆、謀叛，但容隱不首者，依律科罪。故云不用此律。</w:t>
      </w:r>
      <w:r>
        <w:t xml:space="preserve"> </w:t>
      </w:r>
      <w:bookmarkEnd w:id="0"/>
    </w:p>
    <w:p w14:paraId="3322D31B" w14:textId="77777777" w:rsidR="00664AFC" w:rsidRPr="00192B8B" w:rsidRDefault="00664AFC" w:rsidP="00192B8B">
      <w:pPr>
        <w:jc w:val="center"/>
        <w:rPr>
          <w:b/>
        </w:rPr>
      </w:pPr>
      <w:r w:rsidRPr="00192B8B">
        <w:rPr>
          <w:b/>
        </w:rPr>
        <w:t>Traduction</w:t>
      </w:r>
    </w:p>
    <w:p w14:paraId="5A097186" w14:textId="77777777" w:rsidR="00B04CF8" w:rsidRDefault="00B04CF8" w:rsidP="00664AFC">
      <w:r>
        <w:t>Des parents qui se donnent asile et se cachent mutuellement</w:t>
      </w:r>
    </w:p>
    <w:p w14:paraId="19274172" w14:textId="5E7B5101" w:rsidR="00664AFC" w:rsidRDefault="00664AFC" w:rsidP="00664AFC">
      <w:r>
        <w:t>Ceux qui habitent ensemble « </w:t>
      </w:r>
      <w:r>
        <w:rPr>
          <w:sz w:val="20"/>
          <w:szCs w:val="20"/>
        </w:rPr>
        <w:t xml:space="preserve">ensemble » veut dire des parents qui ont leurs biens en commun et font habitation commune, sans forcément qu’ils soient inscrits dans le même lieu d’enregistrement, ni même qu’ils soient d’une parenté assez proche pour figurer dans le tableau de deuil, </w:t>
      </w:r>
      <w:r w:rsidRPr="00664AFC">
        <w:t xml:space="preserve">ainsi que les parents du troisième degré de </w:t>
      </w:r>
      <w:r w:rsidR="00C229D7">
        <w:t>deuil ou au dessus</w:t>
      </w:r>
      <w:r w:rsidR="00C229D7">
        <w:rPr>
          <w:sz w:val="20"/>
          <w:szCs w:val="20"/>
        </w:rPr>
        <w:t xml:space="preserve"> c’est à dire les parents du troisième degré de deuil ou au dessus qui habitent séparément, en considération du tableau des deuils, </w:t>
      </w:r>
      <w:r w:rsidR="00C229D7">
        <w:t>ainsi qu</w:t>
      </w:r>
      <w:r w:rsidR="0045788E">
        <w:t xml:space="preserve">e les grands-parents </w:t>
      </w:r>
      <w:r w:rsidR="00DD2D63">
        <w:t>par alliance</w:t>
      </w:r>
      <w:r w:rsidR="00EB110F">
        <w:rPr>
          <w:rFonts w:hint="eastAsia"/>
        </w:rPr>
        <w:t xml:space="preserve"> </w:t>
      </w:r>
      <w:r w:rsidR="00EB110F">
        <w:rPr>
          <w:rFonts w:hint="eastAsia"/>
        </w:rPr>
        <w:t>（</w:t>
      </w:r>
      <w:r w:rsidR="00EB110F">
        <w:t xml:space="preserve"> ? </w:t>
      </w:r>
      <w:r w:rsidR="00EB110F">
        <w:rPr>
          <w:rFonts w:hint="eastAsia"/>
        </w:rPr>
        <w:t>外祖父母</w:t>
      </w:r>
      <w:r w:rsidR="00EB110F">
        <w:t>)</w:t>
      </w:r>
      <w:r w:rsidR="00DD2D63">
        <w:t>, les petits-enfan</w:t>
      </w:r>
      <w:r w:rsidR="00F451D1">
        <w:t>ts en ligne maternelle</w:t>
      </w:r>
      <w:r w:rsidR="00EB110F">
        <w:t xml:space="preserve"> (</w:t>
      </w:r>
      <w:r w:rsidR="00DD2D63">
        <w:t> ?</w:t>
      </w:r>
      <w:r w:rsidR="00EB110F">
        <w:rPr>
          <w:rFonts w:hint="eastAsia"/>
        </w:rPr>
        <w:t xml:space="preserve"> </w:t>
      </w:r>
      <w:r w:rsidR="00EB110F">
        <w:rPr>
          <w:rFonts w:hint="eastAsia"/>
        </w:rPr>
        <w:t>外孫</w:t>
      </w:r>
      <w:r w:rsidR="00DD2D63">
        <w:t>), les père et mère de l’épouse, les gendres, de même que les épouses des petits-fils, les frères aînés ou cadets du mari ou de l’épouse</w:t>
      </w:r>
      <w:r w:rsidR="00F451D1">
        <w:t xml:space="preserve"> </w:t>
      </w:r>
      <w:r w:rsidR="00DD2D63">
        <w:t xml:space="preserve">, </w:t>
      </w:r>
      <w:r w:rsidR="00DD2D63">
        <w:rPr>
          <w:sz w:val="20"/>
          <w:szCs w:val="20"/>
        </w:rPr>
        <w:t>en cons</w:t>
      </w:r>
      <w:r w:rsidR="00B04CF8">
        <w:rPr>
          <w:sz w:val="20"/>
          <w:szCs w:val="20"/>
        </w:rPr>
        <w:t>idération des liens d’affection,</w:t>
      </w:r>
      <w:r w:rsidR="00DD2D63">
        <w:rPr>
          <w:sz w:val="20"/>
          <w:szCs w:val="20"/>
        </w:rPr>
        <w:t xml:space="preserve"> </w:t>
      </w:r>
      <w:r w:rsidR="00B04CF8">
        <w:t>si l’un d’entre eux commet un</w:t>
      </w:r>
      <w:r w:rsidR="00DD2D63">
        <w:t xml:space="preserve"> crime, </w:t>
      </w:r>
      <w:r w:rsidR="00DD2D63">
        <w:rPr>
          <w:sz w:val="20"/>
          <w:szCs w:val="20"/>
        </w:rPr>
        <w:t xml:space="preserve">les susnommés </w:t>
      </w:r>
      <w:r w:rsidR="00EB110F">
        <w:rPr>
          <w:sz w:val="20"/>
          <w:szCs w:val="20"/>
        </w:rPr>
        <w:t xml:space="preserve">peuvent </w:t>
      </w:r>
      <w:r w:rsidR="00DD2D63">
        <w:t xml:space="preserve">se </w:t>
      </w:r>
      <w:r w:rsidR="00C46761">
        <w:t xml:space="preserve">donner asile et se </w:t>
      </w:r>
      <w:r w:rsidR="00DD2D63">
        <w:t>cacher mutuellement</w:t>
      </w:r>
      <w:r w:rsidR="00DD2D63">
        <w:rPr>
          <w:rStyle w:val="Marquenotebasdepage"/>
        </w:rPr>
        <w:footnoteReference w:id="1"/>
      </w:r>
      <w:r w:rsidR="00C46761">
        <w:t xml:space="preserve"> , les esclaves, les employés à gage </w:t>
      </w:r>
      <w:r w:rsidR="00C46761">
        <w:rPr>
          <w:sz w:val="20"/>
          <w:szCs w:val="20"/>
        </w:rPr>
        <w:t xml:space="preserve">en considération de leur devoir d’obéissance </w:t>
      </w:r>
      <w:r w:rsidR="006B36ED">
        <w:t>doivent cacher le chef de famille</w:t>
      </w:r>
      <w:r w:rsidR="00C46761">
        <w:t xml:space="preserve"> : tous sont </w:t>
      </w:r>
      <w:r w:rsidR="00F84679">
        <w:t>relaxés sans poursuite.</w:t>
      </w:r>
      <w:r w:rsidR="006B36ED">
        <w:t xml:space="preserve"> </w:t>
      </w:r>
      <w:r w:rsidR="006B36ED">
        <w:rPr>
          <w:sz w:val="20"/>
          <w:szCs w:val="20"/>
        </w:rPr>
        <w:t xml:space="preserve">Le chef de famille n’a pas quant à lui l’obligation de cacher un esclave ou un employé à gages, son devoir est que leur crime soit jugé (ou « de juger leur crime » ?). </w:t>
      </w:r>
      <w:r w:rsidR="00242D52" w:rsidRPr="00242D52">
        <w:t>Lorsqu</w:t>
      </w:r>
      <w:r w:rsidR="00242D52">
        <w:t>e</w:t>
      </w:r>
      <w:r w:rsidR="00242D52" w:rsidRPr="00242D52">
        <w:t xml:space="preserve"> des fuites dans une affaire judiciaire</w:t>
      </w:r>
      <w:r w:rsidR="00242D52">
        <w:t>, ou la communication d’information permettent au co</w:t>
      </w:r>
      <w:r w:rsidR="00C47654">
        <w:t>upable de se cacher ou de s’enf</w:t>
      </w:r>
      <w:r w:rsidR="00242D52">
        <w:t xml:space="preserve">uir </w:t>
      </w:r>
      <w:r w:rsidR="00242D52">
        <w:rPr>
          <w:sz w:val="20"/>
          <w:szCs w:val="20"/>
        </w:rPr>
        <w:t xml:space="preserve">du moment que la fuite et la publication sont le fait d’une personne que la loi autorise à donner asile et cacher ce coupable </w:t>
      </w:r>
      <w:r w:rsidR="00242D52">
        <w:t>il n’y a pas non plus d’inculpation</w:t>
      </w:r>
      <w:r w:rsidR="00045F8D">
        <w:t xml:space="preserve"> </w:t>
      </w:r>
      <w:r w:rsidR="00045F8D">
        <w:rPr>
          <w:sz w:val="20"/>
          <w:szCs w:val="20"/>
        </w:rPr>
        <w:t>cela signifie que si l’un des parents autorisés à se donner asile et à se cacher mutuellement commet un crime pour lequel la justice le poursuit</w:t>
      </w:r>
      <w:r w:rsidR="00C47654">
        <w:rPr>
          <w:sz w:val="20"/>
          <w:szCs w:val="20"/>
        </w:rPr>
        <w:t xml:space="preserve"> pour l’arrêter</w:t>
      </w:r>
      <w:r w:rsidR="00045F8D">
        <w:rPr>
          <w:sz w:val="20"/>
          <w:szCs w:val="20"/>
        </w:rPr>
        <w:t xml:space="preserve">, </w:t>
      </w:r>
      <w:r w:rsidR="00C47654">
        <w:rPr>
          <w:sz w:val="20"/>
          <w:szCs w:val="20"/>
        </w:rPr>
        <w:t>la personne qui divulgue l’affaire</w:t>
      </w:r>
      <w:r w:rsidR="00045F8D">
        <w:rPr>
          <w:sz w:val="20"/>
          <w:szCs w:val="20"/>
        </w:rPr>
        <w:t xml:space="preserve"> </w:t>
      </w:r>
      <w:r w:rsidR="00C47654">
        <w:rPr>
          <w:sz w:val="20"/>
          <w:szCs w:val="20"/>
        </w:rPr>
        <w:t>ou informe</w:t>
      </w:r>
      <w:r w:rsidR="00C47654" w:rsidRPr="00C47654">
        <w:rPr>
          <w:sz w:val="20"/>
          <w:szCs w:val="20"/>
        </w:rPr>
        <w:t xml:space="preserve"> </w:t>
      </w:r>
      <w:r w:rsidR="00C47654">
        <w:rPr>
          <w:sz w:val="20"/>
          <w:szCs w:val="20"/>
        </w:rPr>
        <w:t>secrètement le criminel, le cache ou lui permet de fuir, ne peut pas non plus être inculpée.</w:t>
      </w:r>
      <w:r w:rsidR="00C47654">
        <w:rPr>
          <w:sz w:val="22"/>
          <w:szCs w:val="22"/>
        </w:rPr>
        <w:t xml:space="preserve"> </w:t>
      </w:r>
      <w:r w:rsidR="00C47654" w:rsidRPr="00C47654">
        <w:t>Les parents qui n’ont qu’une relation de deuil du 4</w:t>
      </w:r>
      <w:r w:rsidR="00C47654" w:rsidRPr="00C47654">
        <w:rPr>
          <w:vertAlign w:val="superscript"/>
        </w:rPr>
        <w:t>e</w:t>
      </w:r>
      <w:r w:rsidR="00C47654" w:rsidRPr="00C47654">
        <w:t xml:space="preserve"> degré ou au dessus et qui donnent asile et cachent, ou font fuiter une affaire judiciaire, ont une peine réduite de trois degré par rapport à une personne ordinaire ; s’ils n’ont qu’une relation trop éloignée pour figurer au tableau des deuils, leur peine n’est réduite que d’un degré </w:t>
      </w:r>
      <w:r w:rsidR="00C47654">
        <w:rPr>
          <w:sz w:val="20"/>
          <w:szCs w:val="20"/>
        </w:rPr>
        <w:t xml:space="preserve">cela désigne les parents du </w:t>
      </w:r>
      <w:r w:rsidR="00431103">
        <w:rPr>
          <w:sz w:val="20"/>
          <w:szCs w:val="20"/>
        </w:rPr>
        <w:t>4</w:t>
      </w:r>
      <w:r w:rsidR="00431103" w:rsidRPr="00431103">
        <w:rPr>
          <w:sz w:val="20"/>
          <w:szCs w:val="20"/>
          <w:vertAlign w:val="superscript"/>
        </w:rPr>
        <w:t>e</w:t>
      </w:r>
      <w:r w:rsidR="00431103">
        <w:rPr>
          <w:sz w:val="20"/>
          <w:szCs w:val="20"/>
        </w:rPr>
        <w:t xml:space="preserve"> degré de deuil et au dessous</w:t>
      </w:r>
      <w:r w:rsidR="00C47654">
        <w:rPr>
          <w:sz w:val="20"/>
          <w:szCs w:val="20"/>
        </w:rPr>
        <w:t xml:space="preserve"> qui habitent séparément</w:t>
      </w:r>
      <w:r w:rsidR="00431103">
        <w:rPr>
          <w:sz w:val="20"/>
          <w:szCs w:val="20"/>
        </w:rPr>
        <w:t xml:space="preserve"> du coupable.</w:t>
      </w:r>
      <w:r w:rsidR="00431103">
        <w:t xml:space="preserve"> En cas d’inculpation pour </w:t>
      </w:r>
      <w:r w:rsidR="00431103" w:rsidRPr="00EB110F">
        <w:rPr>
          <w:b/>
        </w:rPr>
        <w:t>Complot de sédition</w:t>
      </w:r>
      <w:r w:rsidR="00431103">
        <w:t xml:space="preserve"> ( ? </w:t>
      </w:r>
      <w:proofErr w:type="spellStart"/>
      <w:r w:rsidR="00431103">
        <w:t>moupan</w:t>
      </w:r>
      <w:proofErr w:type="spellEnd"/>
      <w:r w:rsidR="00431103">
        <w:t xml:space="preserve">) ou plus grave ( ! sic), cette loi ne s’applique pas : cela signifie que même s’il y a relation de parenté assez proche pour figurer dans le tableau des deuils, le coupable de </w:t>
      </w:r>
      <w:r w:rsidR="00431103" w:rsidRPr="00431103">
        <w:rPr>
          <w:b/>
        </w:rPr>
        <w:t>grande rébellion, complot de révolte, complot de sédition</w:t>
      </w:r>
      <w:r w:rsidR="00431103">
        <w:t xml:space="preserve"> (termes à revoir en fonction de notre traduction des </w:t>
      </w:r>
      <w:proofErr w:type="spellStart"/>
      <w:r w:rsidR="00431103">
        <w:t>lü</w:t>
      </w:r>
      <w:proofErr w:type="spellEnd"/>
      <w:r w:rsidR="00431103">
        <w:t xml:space="preserve"> n° </w:t>
      </w:r>
      <w:r w:rsidR="00B04CF8">
        <w:t>254 et 255</w:t>
      </w:r>
      <w:r w:rsidR="00431103">
        <w:t xml:space="preserve">), du simple fait de leur avoir donné asile et </w:t>
      </w:r>
      <w:r w:rsidR="00431103">
        <w:lastRenderedPageBreak/>
        <w:t xml:space="preserve">de les avoir cachés, ils recevront la sanction prévue par la loi </w:t>
      </w:r>
      <w:r w:rsidR="00B04CF8">
        <w:t>contre ces crimes</w:t>
      </w:r>
      <w:r w:rsidR="00431103">
        <w:t>, c’est pourquoi il est dit : cette loi [</w:t>
      </w:r>
      <w:r w:rsidR="00B04CF8">
        <w:t>autorisant les parents à se donner mutuellement asile] ne s’applique pas</w:t>
      </w:r>
    </w:p>
    <w:p w14:paraId="120660A6" w14:textId="77777777" w:rsidR="00664AFC" w:rsidRPr="00611CD1" w:rsidRDefault="00664AFC" w:rsidP="00611CD1">
      <w:pPr>
        <w:jc w:val="center"/>
        <w:rPr>
          <w:b/>
        </w:rPr>
      </w:pPr>
    </w:p>
    <w:p w14:paraId="07EEEC8C" w14:textId="37C41003" w:rsidR="00664AFC" w:rsidRPr="00611CD1" w:rsidRDefault="00611CD1" w:rsidP="00611CD1">
      <w:pPr>
        <w:jc w:val="center"/>
        <w:rPr>
          <w:b/>
        </w:rPr>
      </w:pPr>
      <w:r>
        <w:rPr>
          <w:b/>
        </w:rPr>
        <w:t>Glossaire </w:t>
      </w:r>
    </w:p>
    <w:p w14:paraId="73F56ADB" w14:textId="0F0B6675" w:rsidR="00664AFC" w:rsidRDefault="0045788E" w:rsidP="00664AFC">
      <w:pPr>
        <w:rPr>
          <w:i/>
        </w:rPr>
      </w:pPr>
      <w:proofErr w:type="spellStart"/>
      <w:r>
        <w:t>t</w:t>
      </w:r>
      <w:r w:rsidR="00664AFC">
        <w:t>ongju</w:t>
      </w:r>
      <w:proofErr w:type="spellEnd"/>
      <w:r w:rsidR="00664AFC">
        <w:t> </w:t>
      </w:r>
      <w:r w:rsidR="00664AFC" w:rsidRPr="008D4F82">
        <w:t>同居</w:t>
      </w:r>
      <w:r w:rsidR="00664AFC" w:rsidRPr="00EB110F">
        <w:t xml:space="preserve">: </w:t>
      </w:r>
      <w:r w:rsidR="00C229D7" w:rsidRPr="00EB110F">
        <w:t>qui habitent ensemble, communauté de résidence</w:t>
      </w:r>
    </w:p>
    <w:p w14:paraId="29115603" w14:textId="535E67D2" w:rsidR="00C229D7" w:rsidRDefault="0045788E" w:rsidP="00664AFC">
      <w:proofErr w:type="spellStart"/>
      <w:r>
        <w:t>t</w:t>
      </w:r>
      <w:r w:rsidR="00C229D7" w:rsidRPr="00EB110F">
        <w:t>ongcai</w:t>
      </w:r>
      <w:proofErr w:type="spellEnd"/>
      <w:r w:rsidR="00C229D7" w:rsidRPr="00EB110F">
        <w:t> </w:t>
      </w:r>
      <w:r w:rsidR="00EB110F">
        <w:rPr>
          <w:rFonts w:hint="eastAsia"/>
        </w:rPr>
        <w:t>同財</w:t>
      </w:r>
      <w:r w:rsidR="00C229D7" w:rsidRPr="00EB110F">
        <w:t>: communauté des biens</w:t>
      </w:r>
    </w:p>
    <w:p w14:paraId="08C7ADE0" w14:textId="1D84C124" w:rsidR="0045788E" w:rsidRPr="00EB110F" w:rsidRDefault="0045788E" w:rsidP="00664AFC">
      <w:proofErr w:type="spellStart"/>
      <w:r>
        <w:t>waizufumu</w:t>
      </w:r>
      <w:proofErr w:type="spellEnd"/>
      <w:r>
        <w:t> </w:t>
      </w:r>
      <w:r>
        <w:rPr>
          <w:rFonts w:hint="eastAsia"/>
        </w:rPr>
        <w:t>外祖父母</w:t>
      </w:r>
      <w:r>
        <w:t>: grands-parents par alliance</w:t>
      </w:r>
    </w:p>
    <w:p w14:paraId="191D6DB6" w14:textId="77777777" w:rsidR="00700937" w:rsidRDefault="00C229D7">
      <w:r>
        <w:t>Da gong </w:t>
      </w:r>
      <w:r w:rsidR="00EB110F">
        <w:rPr>
          <w:rFonts w:hint="eastAsia"/>
        </w:rPr>
        <w:t>大功</w:t>
      </w:r>
      <w:r>
        <w:t>: troisième degré de deuil (voir tableau des deuils)</w:t>
      </w:r>
    </w:p>
    <w:p w14:paraId="19069093" w14:textId="4539BEFA" w:rsidR="00C229D7" w:rsidRDefault="0045788E">
      <w:r>
        <w:t>f</w:t>
      </w:r>
      <w:r w:rsidR="00C229D7">
        <w:t>u </w:t>
      </w:r>
      <w:r w:rsidR="00EB110F">
        <w:rPr>
          <w:rFonts w:hint="eastAsia"/>
        </w:rPr>
        <w:t>服</w:t>
      </w:r>
      <w:r w:rsidR="00C229D7">
        <w:t>: deuil (vêtements de) ; deuils (tableau des)</w:t>
      </w:r>
    </w:p>
    <w:p w14:paraId="2BE50662" w14:textId="77777777" w:rsidR="00C46761" w:rsidRDefault="00EB110F">
      <w:proofErr w:type="spellStart"/>
      <w:r>
        <w:t>r</w:t>
      </w:r>
      <w:r w:rsidR="00C46761">
        <w:t>ongyin</w:t>
      </w:r>
      <w:proofErr w:type="spellEnd"/>
      <w:r w:rsidR="00C46761">
        <w:t> </w:t>
      </w:r>
      <w:r>
        <w:rPr>
          <w:rFonts w:hint="eastAsia"/>
        </w:rPr>
        <w:t>容隱</w:t>
      </w:r>
      <w:r w:rsidR="00C46761">
        <w:t>: donner asile et cacher ; recevoir et dissimuler</w:t>
      </w:r>
    </w:p>
    <w:p w14:paraId="0C32B32C" w14:textId="77777777" w:rsidR="00C46761" w:rsidRDefault="00EB110F">
      <w:proofErr w:type="spellStart"/>
      <w:r>
        <w:t>n</w:t>
      </w:r>
      <w:r w:rsidR="00C46761">
        <w:t>ubi</w:t>
      </w:r>
      <w:proofErr w:type="spellEnd"/>
      <w:r w:rsidR="00C46761">
        <w:t> </w:t>
      </w:r>
      <w:r>
        <w:rPr>
          <w:rFonts w:hint="eastAsia"/>
        </w:rPr>
        <w:t>奴婢</w:t>
      </w:r>
      <w:r w:rsidR="00C46761">
        <w:t>:</w:t>
      </w:r>
      <w:r>
        <w:t xml:space="preserve"> esclave</w:t>
      </w:r>
    </w:p>
    <w:p w14:paraId="10106319" w14:textId="77777777" w:rsidR="00C46761" w:rsidRDefault="00C46761">
      <w:proofErr w:type="spellStart"/>
      <w:r>
        <w:t>gugong</w:t>
      </w:r>
      <w:proofErr w:type="spellEnd"/>
      <w:r w:rsidR="00EB110F">
        <w:t xml:space="preserve"> </w:t>
      </w:r>
      <w:proofErr w:type="spellStart"/>
      <w:r w:rsidR="00EB110F">
        <w:t>ren</w:t>
      </w:r>
      <w:proofErr w:type="spellEnd"/>
      <w:r w:rsidR="00EB110F">
        <w:t> </w:t>
      </w:r>
      <w:r w:rsidR="00EB110F">
        <w:rPr>
          <w:rFonts w:hint="eastAsia"/>
        </w:rPr>
        <w:t>雇工人</w:t>
      </w:r>
      <w:r w:rsidR="00EB110F">
        <w:t>: employé</w:t>
      </w:r>
      <w:r>
        <w:t xml:space="preserve"> à gage</w:t>
      </w:r>
      <w:r w:rsidR="00EB110F">
        <w:t>s (ou travailleur</w:t>
      </w:r>
      <w:r w:rsidR="006B36ED">
        <w:t xml:space="preserve"> à gage</w:t>
      </w:r>
      <w:r w:rsidR="00EB110F">
        <w:rPr>
          <w:rFonts w:hint="eastAsia"/>
        </w:rPr>
        <w:t xml:space="preserve"> </w:t>
      </w:r>
      <w:r w:rsidR="00EB110F">
        <w:rPr>
          <w:rFonts w:hint="eastAsia"/>
        </w:rPr>
        <w:t>？</w:t>
      </w:r>
      <w:r w:rsidR="006B36ED">
        <w:t>)</w:t>
      </w:r>
    </w:p>
    <w:p w14:paraId="5FB66DD4" w14:textId="77777777" w:rsidR="006B36ED" w:rsidRDefault="006B36ED">
      <w:proofErr w:type="spellStart"/>
      <w:r>
        <w:t>wulun</w:t>
      </w:r>
      <w:proofErr w:type="spellEnd"/>
      <w:r w:rsidR="00EB110F">
        <w:rPr>
          <w:rFonts w:hint="eastAsia"/>
        </w:rPr>
        <w:t xml:space="preserve"> </w:t>
      </w:r>
      <w:r w:rsidR="00EB110F">
        <w:rPr>
          <w:rFonts w:hint="eastAsia"/>
        </w:rPr>
        <w:t>無論</w:t>
      </w:r>
      <w:r>
        <w:t> : ne donne pas lieu à poursuite judiciaire ; relaxé ?</w:t>
      </w:r>
    </w:p>
    <w:p w14:paraId="74A03D3F" w14:textId="77777777" w:rsidR="00242D52" w:rsidRDefault="00242D52">
      <w:proofErr w:type="spellStart"/>
      <w:r>
        <w:t>zuo</w:t>
      </w:r>
      <w:proofErr w:type="spellEnd"/>
      <w:r>
        <w:t xml:space="preserve"> (</w:t>
      </w:r>
      <w:proofErr w:type="spellStart"/>
      <w:r>
        <w:t>buzuo</w:t>
      </w:r>
      <w:proofErr w:type="spellEnd"/>
      <w:r>
        <w:t>)</w:t>
      </w:r>
      <w:r w:rsidR="00EB110F">
        <w:rPr>
          <w:rFonts w:hint="eastAsia"/>
        </w:rPr>
        <w:t xml:space="preserve"> </w:t>
      </w:r>
      <w:r w:rsidR="00EB110F">
        <w:rPr>
          <w:rFonts w:hint="eastAsia"/>
        </w:rPr>
        <w:t>坐</w:t>
      </w:r>
      <w:r w:rsidR="00EB110F">
        <w:rPr>
          <w:rFonts w:hint="eastAsia"/>
        </w:rPr>
        <w:t xml:space="preserve"> </w:t>
      </w:r>
      <w:r w:rsidR="00EB110F">
        <w:rPr>
          <w:rFonts w:hint="eastAsia"/>
        </w:rPr>
        <w:t>（不坐）</w:t>
      </w:r>
      <w:r>
        <w:t> : inculpation, non-inculpation, pas d’inculpation</w:t>
      </w:r>
    </w:p>
    <w:p w14:paraId="425A94EB" w14:textId="77777777" w:rsidR="00431103" w:rsidRDefault="00431103">
      <w:r>
        <w:t xml:space="preserve">bu </w:t>
      </w:r>
      <w:proofErr w:type="spellStart"/>
      <w:r>
        <w:t>yong</w:t>
      </w:r>
      <w:proofErr w:type="spellEnd"/>
      <w:r>
        <w:t xml:space="preserve"> ci </w:t>
      </w:r>
      <w:proofErr w:type="spellStart"/>
      <w:r>
        <w:t>lü</w:t>
      </w:r>
      <w:proofErr w:type="spellEnd"/>
      <w:r>
        <w:t> </w:t>
      </w:r>
      <w:r w:rsidR="00EB110F">
        <w:rPr>
          <w:rFonts w:hint="eastAsia"/>
        </w:rPr>
        <w:t>不用此律</w:t>
      </w:r>
      <w:r>
        <w:t>: cette loi ne s’applique pas</w:t>
      </w:r>
    </w:p>
    <w:p w14:paraId="280FDF1A" w14:textId="77777777" w:rsidR="006B36ED" w:rsidRDefault="006B36ED"/>
    <w:p w14:paraId="03EEB939" w14:textId="288B42AC" w:rsidR="009617AE" w:rsidRDefault="009617AE">
      <w:r w:rsidRPr="0045788E">
        <w:rPr>
          <w:b/>
        </w:rPr>
        <w:t xml:space="preserve">Article </w:t>
      </w:r>
      <w:r w:rsidR="00611CD1" w:rsidRPr="0045788E">
        <w:rPr>
          <w:b/>
        </w:rPr>
        <w:t>additionnel (</w:t>
      </w:r>
      <w:proofErr w:type="spellStart"/>
      <w:r w:rsidR="00611CD1" w:rsidRPr="0045788E">
        <w:rPr>
          <w:b/>
        </w:rPr>
        <w:t>tiaoli</w:t>
      </w:r>
      <w:proofErr w:type="spellEnd"/>
      <w:r w:rsidR="00611CD1" w:rsidRPr="0045788E">
        <w:rPr>
          <w:b/>
        </w:rPr>
        <w:t>)</w:t>
      </w:r>
      <w:r w:rsidR="00611CD1">
        <w:t xml:space="preserve"> </w:t>
      </w:r>
      <w:r>
        <w:t xml:space="preserve">annexé en 1771, suivi du commentaire critique de </w:t>
      </w:r>
      <w:proofErr w:type="spellStart"/>
      <w:r>
        <w:t>Xue</w:t>
      </w:r>
      <w:proofErr w:type="spellEnd"/>
      <w:r>
        <w:t xml:space="preserve"> </w:t>
      </w:r>
      <w:proofErr w:type="spellStart"/>
      <w:r>
        <w:t>Yunsheng</w:t>
      </w:r>
      <w:proofErr w:type="spellEnd"/>
      <w:r>
        <w:t xml:space="preserve"> (extrait du site </w:t>
      </w:r>
      <w:hyperlink r:id="rId8" w:history="1">
        <w:r w:rsidRPr="00121476">
          <w:rPr>
            <w:rStyle w:val="Lienhypertexte"/>
          </w:rPr>
          <w:t>http://www.terada.law.kyoto-u.ac.jp/dlcy/</w:t>
        </w:r>
      </w:hyperlink>
      <w:r>
        <w:t xml:space="preserve"> </w:t>
      </w:r>
    </w:p>
    <w:p w14:paraId="78446BD6" w14:textId="77777777" w:rsidR="009617AE" w:rsidRDefault="009617AE"/>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56"/>
        <w:gridCol w:w="9060"/>
      </w:tblGrid>
      <w:tr w:rsidR="009617AE" w:rsidRPr="009617AE" w14:paraId="70B9267D" w14:textId="77777777" w:rsidTr="009617AE">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3E9F06B" w14:textId="77777777" w:rsidR="009617AE" w:rsidRPr="009617AE" w:rsidRDefault="009617AE" w:rsidP="009617AE">
            <w:pPr>
              <w:spacing w:after="0"/>
              <w:rPr>
                <w:rFonts w:ascii="細明體" w:eastAsia="細明體" w:hAnsi="細明體" w:cs="Times New Roman"/>
                <w:sz w:val="20"/>
                <w:szCs w:val="20"/>
                <w:lang w:eastAsia="fr-FR"/>
              </w:rPr>
            </w:pPr>
            <w:r w:rsidRPr="009617AE">
              <w:rPr>
                <w:rFonts w:ascii="細明體" w:eastAsia="細明體" w:hAnsi="細明體" w:cs="Times New Roman"/>
                <w:sz w:val="20"/>
                <w:szCs w:val="20"/>
                <w:lang w:eastAsia="fr-FR"/>
              </w:rPr>
              <w:t>條例</w:t>
            </w:r>
          </w:p>
        </w:tc>
      </w:tr>
      <w:bookmarkStart w:id="1" w:name="親屬相為容隱01"/>
      <w:bookmarkEnd w:id="1"/>
      <w:tr w:rsidR="009617AE" w:rsidRPr="009617AE" w14:paraId="365EAEDB" w14:textId="77777777" w:rsidTr="009617AE">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0E0D0"/>
            <w:vAlign w:val="center"/>
            <w:hideMark/>
          </w:tcPr>
          <w:p w14:paraId="0A067FBA" w14:textId="77777777" w:rsidR="009617AE" w:rsidRPr="009617AE" w:rsidRDefault="009617AE" w:rsidP="009617AE">
            <w:pPr>
              <w:spacing w:after="0"/>
              <w:rPr>
                <w:rFonts w:ascii="細明體" w:eastAsia="細明體" w:hAnsi="細明體" w:cs="Times New Roman"/>
                <w:sz w:val="20"/>
                <w:szCs w:val="20"/>
                <w:lang w:eastAsia="fr-FR"/>
              </w:rPr>
            </w:pPr>
            <w:r w:rsidRPr="009617AE">
              <w:rPr>
                <w:rFonts w:ascii="細明體" w:eastAsia="細明體" w:hAnsi="細明體" w:cs="Times New Roman"/>
                <w:sz w:val="20"/>
                <w:szCs w:val="20"/>
                <w:lang w:eastAsia="fr-FR"/>
              </w:rPr>
              <w:fldChar w:fldCharType="begin"/>
            </w:r>
            <w:r w:rsidRPr="009617AE">
              <w:rPr>
                <w:rFonts w:ascii="細明體" w:eastAsia="細明體" w:hAnsi="細明體" w:cs="Times New Roman"/>
                <w:sz w:val="20"/>
                <w:szCs w:val="20"/>
                <w:lang w:eastAsia="fr-FR"/>
              </w:rPr>
              <w:instrText xml:space="preserve"> HYPERLINK "http://www.terada.law.kyoto-u.ac.jp/dlcy/dlcy05eu.htm" \l "%E8%A6%AA%E5%B1%AC%E7%9B%B8%E7%82%BA%E5%AE%B9%E9%9A%B1" </w:instrText>
            </w:r>
            <w:r w:rsidRPr="009617AE">
              <w:rPr>
                <w:rFonts w:ascii="細明體" w:eastAsia="細明體" w:hAnsi="細明體" w:cs="Times New Roman"/>
                <w:sz w:val="20"/>
                <w:szCs w:val="20"/>
                <w:lang w:eastAsia="fr-FR"/>
              </w:rPr>
              <w:fldChar w:fldCharType="separate"/>
            </w:r>
            <w:r w:rsidRPr="009617AE">
              <w:rPr>
                <w:rFonts w:ascii="細明體" w:eastAsia="細明體" w:hAnsi="細明體" w:cs="Times New Roman"/>
                <w:color w:val="606020"/>
                <w:sz w:val="20"/>
                <w:szCs w:val="20"/>
                <w:u w:val="single"/>
                <w:lang w:eastAsia="fr-FR"/>
              </w:rPr>
              <w:t>親屬相為容隱-01</w:t>
            </w:r>
            <w:r w:rsidRPr="009617AE">
              <w:rPr>
                <w:rFonts w:ascii="細明體" w:eastAsia="細明體" w:hAnsi="細明體" w:cs="Times New Roman"/>
                <w:sz w:val="20"/>
                <w:szCs w:val="20"/>
                <w:lang w:eastAsia="fr-FR"/>
              </w:rPr>
              <w:fldChar w:fldCharType="end"/>
            </w:r>
            <w:r w:rsidRPr="009617AE">
              <w:rPr>
                <w:rFonts w:ascii="細明體" w:eastAsia="細明體" w:hAnsi="細明體" w:cs="Microsoft Tai Le"/>
                <w:sz w:val="20"/>
                <w:szCs w:val="20"/>
                <w:lang w:eastAsia="fr-FR"/>
              </w:rPr>
              <w:t xml:space="preserve">　</w:t>
            </w:r>
            <w:r w:rsidRPr="009617AE">
              <w:rPr>
                <w:rFonts w:ascii="細明體" w:eastAsia="細明體" w:hAnsi="細明體" w:cs="Times New Roman"/>
                <w:sz w:val="20"/>
                <w:szCs w:val="20"/>
                <w:lang w:eastAsia="fr-FR"/>
              </w:rPr>
              <w:t xml:space="preserve"> 一</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父為母所殺</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其子隱忍於破案後</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始行供明者</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照不應重律</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杖八十</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如經官審訊</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猶復隱忍不言者</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照違制律</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杖一百</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若母為父所殺</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其子仍聽依律容隱</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免科</w:t>
            </w:r>
            <w:r w:rsidRPr="009617AE">
              <w:rPr>
                <w:rFonts w:ascii="細明體" w:eastAsia="細明體" w:hAnsi="細明體" w:cs="Microsoft Tai Le"/>
                <w:sz w:val="20"/>
                <w:szCs w:val="20"/>
                <w:lang w:eastAsia="fr-FR"/>
              </w:rPr>
              <w:t>。</w:t>
            </w:r>
          </w:p>
        </w:tc>
      </w:tr>
      <w:tr w:rsidR="009617AE" w:rsidRPr="009617AE" w14:paraId="4386165E" w14:textId="77777777" w:rsidTr="009617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66C872" w14:textId="77777777" w:rsidR="009617AE" w:rsidRPr="009617AE" w:rsidRDefault="009617AE" w:rsidP="009617AE">
            <w:pPr>
              <w:spacing w:after="0"/>
              <w:rPr>
                <w:rFonts w:ascii="細明體" w:eastAsia="細明體" w:hAnsi="細明體" w:cs="Times New Roman"/>
                <w:sz w:val="20"/>
                <w:szCs w:val="20"/>
                <w:lang w:eastAsia="fr-FR"/>
              </w:rPr>
            </w:pPr>
            <w:r w:rsidRPr="009617AE">
              <w:rPr>
                <w:rFonts w:ascii="細明體" w:eastAsia="細明體" w:hAnsi="細明體" w:cs="Microsoft Tai Le"/>
                <w:sz w:val="20"/>
                <w:szCs w:val="20"/>
                <w:lang w:eastAsia="fr-FR"/>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24A2CB" w14:textId="77777777" w:rsidR="009617AE" w:rsidRPr="009617AE" w:rsidRDefault="009617AE" w:rsidP="009617AE">
            <w:pPr>
              <w:spacing w:after="0"/>
              <w:rPr>
                <w:rFonts w:ascii="細明體" w:eastAsia="細明體" w:hAnsi="細明體" w:cs="Times New Roman"/>
                <w:sz w:val="20"/>
                <w:szCs w:val="20"/>
                <w:lang w:eastAsia="fr-FR"/>
              </w:rPr>
            </w:pPr>
            <w:r w:rsidRPr="009617AE">
              <w:rPr>
                <w:rFonts w:ascii="細明體" w:eastAsia="細明體" w:hAnsi="細明體" w:cs="Times New Roman"/>
                <w:sz w:val="20"/>
                <w:szCs w:val="20"/>
                <w:lang w:eastAsia="fr-FR"/>
              </w:rPr>
              <w:t>此條係</w:t>
            </w:r>
            <w:r w:rsidRPr="009617AE">
              <w:rPr>
                <w:rFonts w:ascii="細明體" w:eastAsia="細明體" w:hAnsi="細明體" w:cs="Times New Roman"/>
                <w:color w:val="8B0000"/>
                <w:sz w:val="20"/>
                <w:szCs w:val="20"/>
                <w:lang w:eastAsia="fr-FR"/>
              </w:rPr>
              <w:t>乾隆五十三年</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刑部題覆四川省民婦馮龔氏毆傷伊夫馮青身死</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依律斬決案内</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其子馮克應因赴前途點火</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不知父母爭毆情事</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請免置議等因</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奉旨纂輯為例</w:t>
            </w:r>
            <w:r w:rsidRPr="009617AE">
              <w:rPr>
                <w:rFonts w:ascii="細明體" w:eastAsia="細明體" w:hAnsi="細明體" w:cs="Microsoft Tai Le"/>
                <w:sz w:val="20"/>
                <w:szCs w:val="20"/>
                <w:lang w:eastAsia="fr-FR"/>
              </w:rPr>
              <w:t>。</w:t>
            </w:r>
          </w:p>
        </w:tc>
      </w:tr>
      <w:tr w:rsidR="009617AE" w:rsidRPr="009617AE" w14:paraId="6B708096" w14:textId="77777777" w:rsidTr="009617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14FF13" w14:textId="77777777" w:rsidR="009617AE" w:rsidRPr="009617AE" w:rsidRDefault="009617AE" w:rsidP="009617AE">
            <w:pPr>
              <w:spacing w:after="0"/>
              <w:rPr>
                <w:rFonts w:ascii="細明體" w:eastAsia="細明體" w:hAnsi="細明體" w:cs="Times New Roman"/>
                <w:sz w:val="20"/>
                <w:szCs w:val="20"/>
                <w:lang w:eastAsia="fr-FR"/>
              </w:rPr>
            </w:pPr>
            <w:r w:rsidRPr="009617AE">
              <w:rPr>
                <w:rFonts w:ascii="細明體" w:eastAsia="細明體" w:hAnsi="細明體" w:cs="Microsoft Tai Le"/>
                <w:sz w:val="20"/>
                <w:szCs w:val="20"/>
                <w:lang w:eastAsia="fr-FR"/>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8A3718" w14:textId="77777777" w:rsidR="009617AE" w:rsidRPr="009617AE" w:rsidRDefault="009617AE" w:rsidP="009617AE">
            <w:pPr>
              <w:spacing w:after="0"/>
              <w:rPr>
                <w:rFonts w:ascii="細明體" w:eastAsia="細明體" w:hAnsi="細明體" w:cs="Times New Roman"/>
                <w:sz w:val="20"/>
                <w:szCs w:val="20"/>
                <w:lang w:eastAsia="fr-FR"/>
              </w:rPr>
            </w:pPr>
            <w:r w:rsidRPr="009617AE">
              <w:rPr>
                <w:rFonts w:ascii="細明體" w:eastAsia="細明體" w:hAnsi="細明體" w:cs="Microsoft Himalaya"/>
                <w:sz w:val="20"/>
                <w:szCs w:val="20"/>
                <w:lang w:eastAsia="fr-FR"/>
              </w:rPr>
              <w:t>《</w:t>
            </w:r>
            <w:r w:rsidRPr="009617AE">
              <w:rPr>
                <w:rFonts w:ascii="細明體" w:eastAsia="細明體" w:hAnsi="細明體" w:cs="Times New Roman"/>
                <w:sz w:val="20"/>
                <w:szCs w:val="20"/>
                <w:lang w:eastAsia="fr-FR"/>
              </w:rPr>
              <w:t>唐律疏議</w:t>
            </w:r>
            <w:r w:rsidRPr="009617AE">
              <w:rPr>
                <w:rFonts w:ascii="細明體" w:eastAsia="細明體" w:hAnsi="細明體" w:cs="Microsoft Himalaya"/>
                <w:sz w:val="20"/>
                <w:szCs w:val="20"/>
                <w:lang w:eastAsia="fr-FR"/>
              </w:rPr>
              <w:t>》</w:t>
            </w:r>
            <w:r w:rsidRPr="009617AE">
              <w:rPr>
                <w:rFonts w:ascii="細明體" w:eastAsia="細明體" w:hAnsi="細明體" w:cs="Times New Roman"/>
                <w:sz w:val="20"/>
                <w:szCs w:val="20"/>
                <w:lang w:eastAsia="fr-FR"/>
              </w:rPr>
              <w:t>云</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有五服内親自相殺者</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疏殺親合吿</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親殺疏不合吿</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親疏等者</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卑幼殺尊長得吿</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尊長殺卑幼不得吿</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其應相隱者</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疏殺親</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義服殺正服</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卑幼殺尊長</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亦得論吿</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其不吿者</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亦無罪</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與此條參看</w:t>
            </w:r>
            <w:r w:rsidRPr="009617AE">
              <w:rPr>
                <w:rFonts w:ascii="細明體" w:eastAsia="細明體" w:hAnsi="細明體" w:cs="Microsoft Tai Le"/>
                <w:sz w:val="20"/>
                <w:szCs w:val="20"/>
                <w:lang w:eastAsia="fr-FR"/>
              </w:rPr>
              <w:t>。</w:t>
            </w:r>
          </w:p>
        </w:tc>
      </w:tr>
      <w:tr w:rsidR="009617AE" w:rsidRPr="009617AE" w14:paraId="0B8BAAE6" w14:textId="77777777" w:rsidTr="009617AE">
        <w:trPr>
          <w:trHeight w:val="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01F7C5" w14:textId="77777777" w:rsidR="009617AE" w:rsidRPr="009617AE" w:rsidRDefault="009617AE" w:rsidP="009617AE">
            <w:pPr>
              <w:spacing w:after="0"/>
              <w:rPr>
                <w:rFonts w:ascii="細明體" w:eastAsia="細明體" w:hAnsi="細明體" w:cs="Times New Roman"/>
                <w:sz w:val="20"/>
                <w:szCs w:val="20"/>
                <w:lang w:eastAsia="fr-FR"/>
              </w:rPr>
            </w:pPr>
            <w:r w:rsidRPr="009617AE">
              <w:rPr>
                <w:rFonts w:ascii="細明體" w:eastAsia="細明體" w:hAnsi="細明體" w:cs="Microsoft Tai Le"/>
                <w:sz w:val="20"/>
                <w:szCs w:val="20"/>
                <w:lang w:eastAsia="fr-FR"/>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8B3562" w14:textId="77777777" w:rsidR="009617AE" w:rsidRPr="009617AE" w:rsidRDefault="009617AE" w:rsidP="009617AE">
            <w:pPr>
              <w:spacing w:after="0"/>
              <w:rPr>
                <w:rFonts w:ascii="細明體" w:eastAsia="細明體" w:hAnsi="細明體" w:cs="Times New Roman"/>
                <w:sz w:val="20"/>
                <w:szCs w:val="20"/>
                <w:lang w:eastAsia="fr-FR"/>
              </w:rPr>
            </w:pPr>
            <w:r w:rsidRPr="009617AE">
              <w:rPr>
                <w:rFonts w:ascii="細明體" w:eastAsia="細明體" w:hAnsi="細明體" w:cs="Times New Roman"/>
                <w:sz w:val="20"/>
                <w:szCs w:val="20"/>
                <w:lang w:eastAsia="fr-FR"/>
              </w:rPr>
              <w:t>謹按</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祖父母為父母所殺及父母為祖父母所殺</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並長兄與次兄互相殺傷</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如何科斷</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均無明文</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此倫常之變</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雖聖賢亦無兩全之法</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而顧責之區區愚氓耶</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此等情罪</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律不言者</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不忍言也</w:t>
            </w:r>
            <w:r w:rsidRPr="009617AE">
              <w:rPr>
                <w:rFonts w:ascii="細明體" w:eastAsia="細明體" w:hAnsi="細明體" w:cs="Microsoft Tai Le"/>
                <w:sz w:val="20"/>
                <w:szCs w:val="20"/>
                <w:lang w:eastAsia="fr-FR"/>
              </w:rPr>
              <w:t>。</w:t>
            </w:r>
            <w:r w:rsidRPr="009617AE">
              <w:rPr>
                <w:rFonts w:ascii="細明體" w:eastAsia="細明體" w:hAnsi="細明體" w:cs="Times New Roman"/>
                <w:color w:val="FF0000"/>
                <w:sz w:val="20"/>
                <w:szCs w:val="20"/>
                <w:lang w:eastAsia="fr-FR"/>
              </w:rPr>
              <w:t>似可無庸纂為條例</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br/>
            </w:r>
            <w:r w:rsidRPr="009617AE">
              <w:rPr>
                <w:rFonts w:ascii="細明體" w:eastAsia="細明體" w:hAnsi="細明體" w:cs="Times New Roman"/>
                <w:color w:val="C0C0C0"/>
                <w:sz w:val="20"/>
                <w:szCs w:val="20"/>
                <w:lang w:eastAsia="fr-FR"/>
              </w:rPr>
              <w:t>□</w:t>
            </w:r>
            <w:r w:rsidRPr="009617AE">
              <w:rPr>
                <w:rFonts w:ascii="細明體" w:eastAsia="細明體" w:hAnsi="細明體" w:cs="Times New Roman"/>
                <w:sz w:val="20"/>
                <w:szCs w:val="20"/>
                <w:lang w:eastAsia="fr-FR"/>
              </w:rPr>
              <w:t>東魏孝靜帝天平間頒麟趾新制</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内有母殺其父</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子不得吿</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吿者死一條</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行晉州事竇瑗上議</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大略謂</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如或有此</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可臨時議罪</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何庸預制斯條云云</w:t>
            </w:r>
            <w:r w:rsidRPr="009617AE">
              <w:rPr>
                <w:rFonts w:ascii="細明體" w:eastAsia="細明體" w:hAnsi="細明體" w:cs="Microsoft Tai Le"/>
                <w:sz w:val="20"/>
                <w:szCs w:val="20"/>
                <w:lang w:eastAsia="fr-FR"/>
              </w:rPr>
              <w:t>，</w:t>
            </w:r>
            <w:r w:rsidRPr="009617AE">
              <w:rPr>
                <w:rFonts w:ascii="細明體" w:eastAsia="細明體" w:hAnsi="細明體" w:cs="Times New Roman"/>
                <w:sz w:val="20"/>
                <w:szCs w:val="20"/>
                <w:lang w:eastAsia="fr-FR"/>
              </w:rPr>
              <w:t>最為得體</w:t>
            </w:r>
            <w:r w:rsidRPr="009617AE">
              <w:rPr>
                <w:rFonts w:ascii="細明體" w:eastAsia="細明體" w:hAnsi="細明體" w:cs="Microsoft Tai Le"/>
                <w:sz w:val="20"/>
                <w:szCs w:val="20"/>
                <w:lang w:eastAsia="fr-FR"/>
              </w:rPr>
              <w:t>。</w:t>
            </w:r>
          </w:p>
        </w:tc>
      </w:tr>
    </w:tbl>
    <w:p w14:paraId="0827F92C" w14:textId="77777777" w:rsidR="009617AE" w:rsidRDefault="009617AE"/>
    <w:p w14:paraId="27065AAF" w14:textId="77777777" w:rsidR="00BD068B" w:rsidRDefault="00BD068B"/>
    <w:p w14:paraId="39D1BCA6" w14:textId="1B68AD27" w:rsidR="00BD068B" w:rsidRDefault="009E491C">
      <w:r>
        <w:t xml:space="preserve">Ici, </w:t>
      </w:r>
      <w:proofErr w:type="spellStart"/>
      <w:r>
        <w:t>Philastre</w:t>
      </w:r>
      <w:proofErr w:type="spellEnd"/>
      <w:r>
        <w:t xml:space="preserve"> fait un contre</w:t>
      </w:r>
      <w:r w:rsidR="008E54C0">
        <w:t xml:space="preserve">sens, </w:t>
      </w:r>
      <w:r w:rsidR="00BD068B">
        <w:t xml:space="preserve">selon moi, </w:t>
      </w:r>
      <w:r w:rsidR="00D31643">
        <w:t>en se trompant dans la ponctuation du texte</w:t>
      </w:r>
      <w:r w:rsidR="0065749A">
        <w:t>: il comprend</w:t>
      </w:r>
      <w:r w:rsidR="00D31643">
        <w:t> :</w:t>
      </w:r>
    </w:p>
    <w:p w14:paraId="39A2ED28" w14:textId="0C068F71" w:rsidR="0065749A" w:rsidRDefault="009E491C">
      <w:r>
        <w:t>« </w:t>
      </w:r>
      <w:r w:rsidR="003A5205">
        <w:t>L</w:t>
      </w:r>
      <w:r w:rsidR="005D709A">
        <w:t xml:space="preserve">e père </w:t>
      </w:r>
      <w:r w:rsidR="003A5205">
        <w:t>qui</w:t>
      </w:r>
      <w:r w:rsidR="0065749A">
        <w:t xml:space="preserve"> cache le crime de la mère qui a tué</w:t>
      </w:r>
      <w:r w:rsidR="003A5205">
        <w:t xml:space="preserve"> leur </w:t>
      </w:r>
      <w:r w:rsidR="00DD6C67">
        <w:t>enfant</w:t>
      </w:r>
      <w:r>
        <w:t xml:space="preserve">, etc. » ; puis, réciproquement, </w:t>
      </w:r>
      <w:r w:rsidR="00D31643">
        <w:t>« </w:t>
      </w:r>
      <w:r>
        <w:t>la mère qui cache que la mère a tué leur enfant » (voir à la p. 251 de l’extrait distribué)</w:t>
      </w:r>
    </w:p>
    <w:p w14:paraId="4EEB7B2A" w14:textId="45C853CE" w:rsidR="00D31643" w:rsidRDefault="00D31643">
      <w:proofErr w:type="spellStart"/>
      <w:r>
        <w:t>c-à-d</w:t>
      </w:r>
      <w:proofErr w:type="spellEnd"/>
      <w:r>
        <w:t xml:space="preserve"> qu’il lit : </w:t>
      </w:r>
      <w:r>
        <w:rPr>
          <w:rFonts w:hint="eastAsia"/>
        </w:rPr>
        <w:t>父為母所殺其子，隱忍於破案後</w:t>
      </w:r>
      <w:r>
        <w:t>, etc.</w:t>
      </w:r>
    </w:p>
    <w:p w14:paraId="19C7792D" w14:textId="039AB566" w:rsidR="008E54C0" w:rsidRDefault="008E54C0">
      <w:r>
        <w:rPr>
          <w:noProof/>
          <w:lang w:eastAsia="fr-FR"/>
        </w:rPr>
        <w:drawing>
          <wp:inline distT="0" distB="0" distL="0" distR="0" wp14:anchorId="555FF261" wp14:editId="6CD564BF">
            <wp:extent cx="5756910" cy="1345591"/>
            <wp:effectExtent l="0" t="0" r="889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1345591"/>
                    </a:xfrm>
                    <a:prstGeom prst="rect">
                      <a:avLst/>
                    </a:prstGeom>
                    <a:noFill/>
                    <a:ln>
                      <a:noFill/>
                    </a:ln>
                  </pic:spPr>
                </pic:pic>
              </a:graphicData>
            </a:graphic>
          </wp:inline>
        </w:drawing>
      </w:r>
    </w:p>
    <w:p w14:paraId="3AE0C9AF" w14:textId="77777777" w:rsidR="00D31643" w:rsidRDefault="00D31643"/>
    <w:p w14:paraId="43341931" w14:textId="46ABD342" w:rsidR="009E491C" w:rsidRDefault="009E491C">
      <w:r>
        <w:t xml:space="preserve">Alors qu’il s’agit d’un enfant (i.e. fils) qui cache que le père a tué la mère ou que la mère a tué le père. Cf. Boulais, et Huang </w:t>
      </w:r>
      <w:proofErr w:type="spellStart"/>
      <w:r>
        <w:t>Jingjia</w:t>
      </w:r>
      <w:proofErr w:type="spellEnd"/>
      <w:r>
        <w:t>, qui place la virgule au point crucial : il faut donc lire</w:t>
      </w:r>
    </w:p>
    <w:p w14:paraId="3A70FC16" w14:textId="77777777" w:rsidR="0065749A" w:rsidRDefault="0065749A"/>
    <w:p w14:paraId="416692C7" w14:textId="591F4141" w:rsidR="004528D8" w:rsidRDefault="003A5205">
      <w:r>
        <w:t xml:space="preserve"> </w:t>
      </w:r>
      <w:r w:rsidR="00DD6C67">
        <w:t xml:space="preserve"> </w:t>
      </w:r>
      <w:r w:rsidR="009E491C">
        <w:t xml:space="preserve">Quand le père est tué par la mère, leur enfant qui </w:t>
      </w:r>
      <w:r w:rsidR="00DD6C67">
        <w:t>l’endure et le cache jusqu’à ce que l’affaire soit découverte, et alors seulement fait une déposi</w:t>
      </w:r>
      <w:r>
        <w:t xml:space="preserve">tion pour révéler les faits, </w:t>
      </w:r>
      <w:r w:rsidR="00DD6C67">
        <w:t>est condamné à 80 coups de bambou lourd en référence</w:t>
      </w:r>
      <w:r>
        <w:t xml:space="preserve"> à</w:t>
      </w:r>
      <w:r w:rsidR="00DD6C67">
        <w:t xml:space="preserve"> l’article « Faire ce qui ne doit pas être fait », dans sa sanction la plus grave. Si</w:t>
      </w:r>
      <w:r w:rsidR="00226CEE">
        <w:t>, alors que la</w:t>
      </w:r>
      <w:r w:rsidR="00DD6C67">
        <w:t xml:space="preserve"> justice fait un</w:t>
      </w:r>
      <w:r w:rsidR="00226CEE">
        <w:t xml:space="preserve">e enquête et l’interroge, </w:t>
      </w:r>
      <w:r w:rsidR="00DD6C67">
        <w:t>il cache</w:t>
      </w:r>
      <w:r w:rsidR="00226CEE">
        <w:t xml:space="preserve"> encore</w:t>
      </w:r>
      <w:r w:rsidR="00DD6C67">
        <w:t xml:space="preserve"> les faits </w:t>
      </w:r>
      <w:r w:rsidR="00226CEE">
        <w:t>et ne di</w:t>
      </w:r>
      <w:r w:rsidR="00DD6C67">
        <w:t>t rien, il est condamné à 100 coups de</w:t>
      </w:r>
      <w:r w:rsidR="00226CEE">
        <w:t xml:space="preserve"> bambou lourd en référence à l’article « I</w:t>
      </w:r>
      <w:r w:rsidR="00DD6C67">
        <w:t>nfraction à une ordonnance »</w:t>
      </w:r>
      <w:r w:rsidR="005D709A">
        <w:t xml:space="preserve">. Si c’est </w:t>
      </w:r>
      <w:r w:rsidR="00226CEE">
        <w:t>la mère qui</w:t>
      </w:r>
      <w:r w:rsidR="009E491C">
        <w:t>a été tué par le père, on</w:t>
      </w:r>
      <w:r w:rsidR="00226CEE">
        <w:t xml:space="preserve"> laisse</w:t>
      </w:r>
      <w:r w:rsidR="009E491C">
        <w:t xml:space="preserve"> leur enfant</w:t>
      </w:r>
      <w:r w:rsidR="005D709A">
        <w:t xml:space="preserve"> bénéficier de l’article sur « l’immunité des parents qui se cachent mutuellement », </w:t>
      </w:r>
      <w:r w:rsidR="009E491C">
        <w:t>et il</w:t>
      </w:r>
      <w:r w:rsidR="00226CEE">
        <w:t xml:space="preserve"> est </w:t>
      </w:r>
      <w:r w:rsidR="009E491C">
        <w:t xml:space="preserve">à ce titre </w:t>
      </w:r>
      <w:r w:rsidR="005D709A">
        <w:t>exempt de peine</w:t>
      </w:r>
      <w:r w:rsidR="009E491C">
        <w:t> »</w:t>
      </w:r>
      <w:r w:rsidR="005D709A">
        <w:t xml:space="preserve">. </w:t>
      </w:r>
    </w:p>
    <w:p w14:paraId="1719BB28" w14:textId="66E77924" w:rsidR="004528D8" w:rsidRPr="004528D8" w:rsidRDefault="004528D8">
      <w:pPr>
        <w:rPr>
          <w:b/>
        </w:rPr>
      </w:pPr>
      <w:r w:rsidRPr="004528D8">
        <w:rPr>
          <w:b/>
        </w:rPr>
        <w:t>Traduction de Boulais :</w:t>
      </w:r>
    </w:p>
    <w:p w14:paraId="6B147CFB" w14:textId="23BFB770" w:rsidR="004528D8" w:rsidRDefault="004528D8" w:rsidP="004528D8">
      <w:pPr>
        <w:widowControl w:val="0"/>
        <w:autoSpaceDE w:val="0"/>
        <w:autoSpaceDN w:val="0"/>
        <w:adjustRightInd w:val="0"/>
        <w:spacing w:after="0"/>
        <w:rPr>
          <w:rFonts w:ascii="Times-Roman" w:hAnsi="Times-Roman" w:cs="Times-Roman"/>
          <w:sz w:val="19"/>
          <w:szCs w:val="19"/>
          <w:lang w:eastAsia="ja-JP"/>
        </w:rPr>
      </w:pPr>
      <w:r>
        <w:rPr>
          <w:rFonts w:ascii="Times-Roman" w:hAnsi="Times-Roman" w:cs="Times-Roman"/>
          <w:sz w:val="19"/>
          <w:szCs w:val="19"/>
          <w:lang w:eastAsia="ja-JP"/>
        </w:rPr>
        <w:t xml:space="preserve">CHAP. XII - ASILE </w:t>
      </w:r>
      <w:r>
        <w:rPr>
          <w:rFonts w:ascii="Times-Roman" w:hAnsi="Times-Roman" w:cs="Times-Roman"/>
          <w:sz w:val="20"/>
          <w:szCs w:val="20"/>
          <w:lang w:eastAsia="ja-JP"/>
        </w:rPr>
        <w:t xml:space="preserve">PROCURÉ </w:t>
      </w:r>
      <w:r>
        <w:rPr>
          <w:rFonts w:ascii="Times-Roman" w:hAnsi="Times-Roman" w:cs="Times-Roman"/>
          <w:sz w:val="19"/>
          <w:szCs w:val="19"/>
          <w:lang w:eastAsia="ja-JP"/>
        </w:rPr>
        <w:t xml:space="preserve">A DES </w:t>
      </w:r>
      <w:r>
        <w:rPr>
          <w:rFonts w:ascii="Times-Roman" w:hAnsi="Times-Roman" w:cs="Times-Roman"/>
          <w:sz w:val="20"/>
          <w:szCs w:val="20"/>
          <w:lang w:eastAsia="ja-JP"/>
        </w:rPr>
        <w:t xml:space="preserve">PARENTS COUPABLES, </w:t>
      </w:r>
      <w:r>
        <w:rPr>
          <w:rFonts w:ascii="Times-Roman" w:hAnsi="Times-Roman" w:cs="Times-Roman"/>
          <w:sz w:val="22"/>
          <w:szCs w:val="22"/>
          <w:lang w:eastAsia="ja-JP"/>
        </w:rPr>
        <w:t>9</w:t>
      </w:r>
      <w:r>
        <w:rPr>
          <w:rFonts w:ascii="Times-Roman" w:hAnsi="Times-Roman" w:cs="Times-Roman"/>
          <w:sz w:val="19"/>
          <w:szCs w:val="19"/>
          <w:lang w:eastAsia="ja-JP"/>
        </w:rPr>
        <w:t>3</w:t>
      </w:r>
    </w:p>
    <w:p w14:paraId="0CED1630" w14:textId="77777777" w:rsidR="004528D8" w:rsidRDefault="004528D8" w:rsidP="004528D8">
      <w:pPr>
        <w:widowControl w:val="0"/>
        <w:autoSpaceDE w:val="0"/>
        <w:autoSpaceDN w:val="0"/>
        <w:adjustRightInd w:val="0"/>
        <w:spacing w:after="0"/>
        <w:rPr>
          <w:rFonts w:ascii="Times-Roman" w:hAnsi="Times-Roman" w:cs="Times-Roman"/>
          <w:sz w:val="19"/>
          <w:szCs w:val="19"/>
          <w:lang w:eastAsia="ja-JP"/>
        </w:rPr>
      </w:pPr>
    </w:p>
    <w:p w14:paraId="74F0AE08" w14:textId="3ED34BB1" w:rsidR="004528D8" w:rsidRDefault="004528D8" w:rsidP="004528D8">
      <w:pPr>
        <w:widowControl w:val="0"/>
        <w:autoSpaceDE w:val="0"/>
        <w:autoSpaceDN w:val="0"/>
        <w:adjustRightInd w:val="0"/>
        <w:spacing w:after="0"/>
        <w:rPr>
          <w:rFonts w:ascii="Times-Roman" w:hAnsi="Times-Roman" w:cs="Times-Roman"/>
          <w:sz w:val="19"/>
          <w:szCs w:val="19"/>
          <w:lang w:eastAsia="ja-JP"/>
        </w:rPr>
      </w:pPr>
      <w:r>
        <w:rPr>
          <w:rFonts w:ascii="Times-Roman" w:hAnsi="Times-Roman" w:cs="Times-Roman"/>
          <w:sz w:val="22"/>
          <w:szCs w:val="22"/>
          <w:lang w:eastAsia="ja-JP"/>
        </w:rPr>
        <w:t xml:space="preserve">177. </w:t>
      </w:r>
      <w:r>
        <w:rPr>
          <w:rFonts w:ascii="Times-Roman" w:hAnsi="Times-Roman" w:cs="Times-Roman"/>
          <w:sz w:val="19"/>
          <w:szCs w:val="19"/>
          <w:lang w:eastAsia="ja-JP"/>
        </w:rPr>
        <w:t xml:space="preserve">ARTICLE SUPPLÉMENTAIRE. - </w:t>
      </w:r>
      <w:r>
        <w:rPr>
          <w:rFonts w:ascii="Times-Roman" w:hAnsi="Times-Roman" w:cs="Times-Roman"/>
          <w:sz w:val="17"/>
          <w:szCs w:val="17"/>
          <w:lang w:eastAsia="ja-JP"/>
        </w:rPr>
        <w:t xml:space="preserve">« </w:t>
      </w:r>
      <w:r>
        <w:rPr>
          <w:rFonts w:ascii="Times-Roman" w:hAnsi="Times-Roman" w:cs="Times-Roman"/>
          <w:sz w:val="19"/>
          <w:szCs w:val="19"/>
          <w:lang w:eastAsia="ja-JP"/>
        </w:rPr>
        <w:t xml:space="preserve">Le fils qui cachera le meurtre de son père accompli par sa mère et ne l'avouera qu'après </w:t>
      </w:r>
      <w:r>
        <w:rPr>
          <w:rFonts w:ascii="Times-Roman" w:hAnsi="Times-Roman" w:cs="Times-Roman"/>
          <w:sz w:val="18"/>
          <w:szCs w:val="18"/>
          <w:lang w:eastAsia="ja-JP"/>
        </w:rPr>
        <w:t>l'évidence o</w:t>
      </w:r>
      <w:r>
        <w:rPr>
          <w:rFonts w:ascii="Times-Roman" w:hAnsi="Times-Roman" w:cs="Times-Roman"/>
          <w:sz w:val="19"/>
          <w:szCs w:val="19"/>
          <w:lang w:eastAsia="ja-JP"/>
        </w:rPr>
        <w:t xml:space="preserve">btenue du fait, subira la peine la plus grave portée contre ceux qui agissent mal, 80 coups de bâton. Si, malgré les interrogations du juge, </w:t>
      </w:r>
      <w:r>
        <w:rPr>
          <w:rFonts w:ascii="Times-Roman" w:hAnsi="Times-Roman" w:cs="Times-Roman"/>
          <w:sz w:val="20"/>
          <w:szCs w:val="20"/>
          <w:lang w:eastAsia="ja-JP"/>
        </w:rPr>
        <w:t xml:space="preserve">il </w:t>
      </w:r>
      <w:r>
        <w:rPr>
          <w:rFonts w:ascii="Times-Roman" w:hAnsi="Times-Roman" w:cs="Times-Roman"/>
          <w:sz w:val="19"/>
          <w:szCs w:val="19"/>
          <w:lang w:eastAsia="ja-JP"/>
        </w:rPr>
        <w:t xml:space="preserve">persiste </w:t>
      </w:r>
      <w:r>
        <w:rPr>
          <w:rFonts w:ascii="Times-Roman" w:hAnsi="Times-Roman" w:cs="Times-Roman"/>
          <w:sz w:val="20"/>
          <w:szCs w:val="20"/>
          <w:lang w:eastAsia="ja-JP"/>
        </w:rPr>
        <w:t xml:space="preserve">à </w:t>
      </w:r>
      <w:r>
        <w:rPr>
          <w:rFonts w:ascii="Times-Roman" w:hAnsi="Times-Roman" w:cs="Times-Roman"/>
          <w:sz w:val="19"/>
          <w:szCs w:val="19"/>
          <w:lang w:eastAsia="ja-JP"/>
        </w:rPr>
        <w:t xml:space="preserve">garder le silence </w:t>
      </w:r>
      <w:r>
        <w:rPr>
          <w:rFonts w:ascii="Times-Roman" w:hAnsi="Times-Roman" w:cs="Times-Roman"/>
          <w:sz w:val="17"/>
          <w:szCs w:val="17"/>
          <w:lang w:eastAsia="ja-JP"/>
        </w:rPr>
        <w:t xml:space="preserve">et </w:t>
      </w:r>
      <w:r>
        <w:rPr>
          <w:rFonts w:ascii="Times-Roman" w:hAnsi="Times-Roman" w:cs="Times-Roman"/>
          <w:sz w:val="19"/>
          <w:szCs w:val="19"/>
          <w:lang w:eastAsia="ja-JP"/>
        </w:rPr>
        <w:t xml:space="preserve">ne veut rien dire, Il recevra </w:t>
      </w:r>
      <w:r>
        <w:rPr>
          <w:rFonts w:ascii="Times-Roman" w:hAnsi="Times-Roman" w:cs="Times-Roman"/>
          <w:sz w:val="16"/>
          <w:szCs w:val="16"/>
          <w:lang w:eastAsia="ja-JP"/>
        </w:rPr>
        <w:t xml:space="preserve">100 </w:t>
      </w:r>
      <w:r>
        <w:rPr>
          <w:rFonts w:ascii="Times-Roman" w:hAnsi="Times-Roman" w:cs="Times-Roman"/>
          <w:sz w:val="19"/>
          <w:szCs w:val="19"/>
          <w:lang w:eastAsia="ja-JP"/>
        </w:rPr>
        <w:t>coups, comme coupable de désobéissance à une instruction impériale.</w:t>
      </w:r>
    </w:p>
    <w:p w14:paraId="7BEE4F5D" w14:textId="17211773" w:rsidR="004528D8" w:rsidRPr="004528D8" w:rsidRDefault="004528D8" w:rsidP="004528D8">
      <w:pPr>
        <w:widowControl w:val="0"/>
        <w:autoSpaceDE w:val="0"/>
        <w:autoSpaceDN w:val="0"/>
        <w:adjustRightInd w:val="0"/>
        <w:spacing w:after="0"/>
        <w:rPr>
          <w:rFonts w:ascii="Times-Roman" w:hAnsi="Times-Roman" w:cs="Times-Roman"/>
          <w:sz w:val="19"/>
          <w:szCs w:val="19"/>
          <w:lang w:eastAsia="ja-JP"/>
        </w:rPr>
      </w:pPr>
      <w:r>
        <w:rPr>
          <w:rFonts w:ascii="Times-Roman" w:hAnsi="Times-Roman" w:cs="Times-Roman"/>
          <w:sz w:val="15"/>
          <w:szCs w:val="15"/>
          <w:lang w:eastAsia="ja-JP"/>
        </w:rPr>
        <w:tab/>
        <w:t xml:space="preserve">« </w:t>
      </w:r>
      <w:r>
        <w:rPr>
          <w:rFonts w:ascii="Times-Roman" w:hAnsi="Times-Roman" w:cs="Times-Roman"/>
          <w:sz w:val="19"/>
          <w:szCs w:val="19"/>
          <w:lang w:eastAsia="ja-JP"/>
        </w:rPr>
        <w:t>Le fils, en cas de meurtre de sa mère par son père, pourra, d’après la loi commune, cacher impunément son père coupable » (1).</w:t>
      </w:r>
    </w:p>
    <w:p w14:paraId="074094AE" w14:textId="77777777" w:rsidR="009E491C" w:rsidRDefault="009E491C"/>
    <w:p w14:paraId="36E63B89" w14:textId="5BF6463E" w:rsidR="005D709A" w:rsidRDefault="005D709A">
      <w:r>
        <w:t xml:space="preserve">Cet article a été codifié en 1771, suite à un cas </w:t>
      </w:r>
      <w:r w:rsidR="00D31643">
        <w:t xml:space="preserve">transmis au ministère des Peines par la province du Sichuan : </w:t>
      </w:r>
      <w:r w:rsidR="00661533">
        <w:t>une certaine dame Feng née Gong</w:t>
      </w:r>
      <w:r>
        <w:t xml:space="preserve"> avait battu à mort son mari, M. Feng Qing ; la femme fut condamnée à la décapitation immédiate, mais leur fils</w:t>
      </w:r>
      <w:r w:rsidR="00661533">
        <w:t xml:space="preserve"> Feng </w:t>
      </w:r>
      <w:proofErr w:type="spellStart"/>
      <w:r w:rsidR="00661533">
        <w:t>Ke</w:t>
      </w:r>
      <w:proofErr w:type="spellEnd"/>
      <w:r>
        <w:t xml:space="preserve"> </w:t>
      </w:r>
      <w:r w:rsidR="003A5205">
        <w:t xml:space="preserve">comme il </w:t>
      </w:r>
      <w:r w:rsidR="00803067">
        <w:t>craignait de causer des problèmes à l’avenir (</w:t>
      </w:r>
      <w:r w:rsidR="003A5205">
        <w:t>???</w:t>
      </w:r>
      <w:r w:rsidR="00803067">
        <w:t xml:space="preserve"> </w:t>
      </w:r>
      <w:r w:rsidR="00803067">
        <w:rPr>
          <w:rFonts w:hint="eastAsia"/>
        </w:rPr>
        <w:t>前途</w:t>
      </w:r>
      <w:r w:rsidR="00803067">
        <w:t xml:space="preserve"> : avenir ; </w:t>
      </w:r>
      <w:r w:rsidR="00803067">
        <w:rPr>
          <w:rFonts w:hint="eastAsia"/>
        </w:rPr>
        <w:t>點火</w:t>
      </w:r>
      <w:r w:rsidR="00803067">
        <w:t> : allumer le feu, mais aussi causer des troubles)</w:t>
      </w:r>
      <w:r w:rsidR="003A5205">
        <w:t xml:space="preserve">, </w:t>
      </w:r>
      <w:r w:rsidR="00803067">
        <w:t xml:space="preserve">a ignoré </w:t>
      </w:r>
      <w:r w:rsidR="00A9080D">
        <w:t xml:space="preserve">(i.e. n’a pas voulu savoir) que </w:t>
      </w:r>
      <w:r w:rsidR="003A5205">
        <w:t>son père et sa mère se battaient, et il demande à être innocenté.</w:t>
      </w:r>
      <w:r w:rsidR="003520AC">
        <w:t xml:space="preserve"> </w:t>
      </w:r>
      <w:r w:rsidR="00A9080D">
        <w:t xml:space="preserve">Le </w:t>
      </w:r>
      <w:r w:rsidR="008B7EF0">
        <w:t>décret (</w:t>
      </w:r>
      <w:r w:rsidR="00A9080D">
        <w:t xml:space="preserve">ou </w:t>
      </w:r>
      <w:r w:rsidR="008B7EF0">
        <w:t>rescrit ?</w:t>
      </w:r>
      <w:r w:rsidR="00A9080D">
        <w:t xml:space="preserve"> qui a avalisé ce cas)</w:t>
      </w:r>
      <w:r w:rsidR="008B7EF0">
        <w:t xml:space="preserve"> a été codifié</w:t>
      </w:r>
      <w:r w:rsidR="003520AC">
        <w:t xml:space="preserve"> en article additionnel.</w:t>
      </w:r>
    </w:p>
    <w:p w14:paraId="5F8EED04" w14:textId="77777777" w:rsidR="00D31643" w:rsidRDefault="00D31643"/>
    <w:p w14:paraId="7A445389" w14:textId="64DBADB3" w:rsidR="008B7EF0" w:rsidRDefault="00D31643">
      <w:proofErr w:type="spellStart"/>
      <w:r>
        <w:t>Xue</w:t>
      </w:r>
      <w:proofErr w:type="spellEnd"/>
      <w:r>
        <w:t xml:space="preserve"> fait remarquer que</w:t>
      </w:r>
      <w:r w:rsidR="00292697">
        <w:t xml:space="preserve"> : les grand-père et grand-mère qui font s’entretuer les père et mère, ou l’inverse, ainsi que les frères aînés et cadets qui se causent mutuellement des blessures ou s’entretuent, quelle échelle de peine leur infliger ? Les textes ne sont pas clairs. Ces </w:t>
      </w:r>
      <w:r w:rsidR="00567592">
        <w:t>transformations</w:t>
      </w:r>
      <w:r w:rsidR="00292697">
        <w:t xml:space="preserve"> (ou incertitudes) dans les statuts hiérarchiques, </w:t>
      </w:r>
      <w:r w:rsidR="00813E34">
        <w:t>bien que nos Saints et nos Sages nous aient laissé d</w:t>
      </w:r>
      <w:r w:rsidR="00292697">
        <w:t xml:space="preserve">es lois complètes et sans pareilles sur ce sujet, </w:t>
      </w:r>
      <w:r>
        <w:t xml:space="preserve"> </w:t>
      </w:r>
      <w:r w:rsidR="00567592">
        <w:t>voilà qu’au contraire elles tombent sous la censure ou critique mesquine des imbéciles ( ??) Ce genre de situations, le code n’en dit rien, alors il n’en faut rien dire (lit. on ne supporte pas de propos là dessus)</w:t>
      </w:r>
      <w:r w:rsidR="00F6302B">
        <w:t xml:space="preserve">. </w:t>
      </w:r>
      <w:r w:rsidR="00F6302B" w:rsidRPr="00F6302B">
        <w:rPr>
          <w:b/>
        </w:rPr>
        <w:t xml:space="preserve">Il </w:t>
      </w:r>
      <w:r w:rsidR="00F6302B">
        <w:rPr>
          <w:b/>
        </w:rPr>
        <w:t>apparait</w:t>
      </w:r>
      <w:r w:rsidR="00F6302B" w:rsidRPr="00F6302B">
        <w:rPr>
          <w:b/>
        </w:rPr>
        <w:t xml:space="preserve"> qu’il n’y avait pas lieu de codifier cet article</w:t>
      </w:r>
      <w:r w:rsidR="00F6302B">
        <w:t xml:space="preserve"> </w:t>
      </w:r>
      <w:r w:rsidR="00F6302B" w:rsidRPr="00F6302B">
        <w:rPr>
          <w:b/>
        </w:rPr>
        <w:t>additionnel</w:t>
      </w:r>
      <w:r w:rsidR="00F6302B">
        <w:t xml:space="preserve"> [et qu’il faut donc le supprimer, c’est là la finalité du DLCY, il convient de le rappeler].</w:t>
      </w:r>
    </w:p>
    <w:p w14:paraId="15F7FDAB" w14:textId="77777777" w:rsidR="00A2513B" w:rsidRDefault="00A2513B" w:rsidP="00A2513B">
      <w:pPr>
        <w:rPr>
          <w:lang w:eastAsia="zh-CN"/>
        </w:rPr>
      </w:pPr>
      <w:r>
        <w:rPr>
          <w:lang w:eastAsia="zh-CN"/>
        </w:rPr>
        <w:t xml:space="preserve">Sous les Wei Orientaux, durant l’ère </w:t>
      </w:r>
      <w:proofErr w:type="spellStart"/>
      <w:r>
        <w:rPr>
          <w:lang w:eastAsia="zh-CN"/>
        </w:rPr>
        <w:t>Tianping</w:t>
      </w:r>
      <w:proofErr w:type="spellEnd"/>
      <w:r>
        <w:rPr>
          <w:lang w:eastAsia="zh-CN"/>
        </w:rPr>
        <w:t xml:space="preserve"> de l’empereur </w:t>
      </w:r>
      <w:proofErr w:type="spellStart"/>
      <w:r>
        <w:rPr>
          <w:lang w:eastAsia="zh-CN"/>
        </w:rPr>
        <w:t>Jing</w:t>
      </w:r>
      <w:proofErr w:type="spellEnd"/>
      <w:r>
        <w:rPr>
          <w:lang w:eastAsia="zh-CN"/>
        </w:rPr>
        <w:t xml:space="preserve">, celui ci promulgua la nouvelle législation de </w:t>
      </w:r>
      <w:proofErr w:type="spellStart"/>
      <w:r>
        <w:rPr>
          <w:lang w:eastAsia="zh-CN"/>
        </w:rPr>
        <w:t>Linzhi</w:t>
      </w:r>
      <w:proofErr w:type="spellEnd"/>
      <w:r>
        <w:rPr>
          <w:lang w:eastAsia="zh-CN"/>
        </w:rPr>
        <w:t xml:space="preserve">, dans laquelle un article stipulait que « quand sa mère tue son père, le fils n’est pas autorisé à porter plainte, sous peine de mort ». </w:t>
      </w:r>
      <w:proofErr w:type="spellStart"/>
      <w:r>
        <w:rPr>
          <w:lang w:eastAsia="zh-CN"/>
        </w:rPr>
        <w:t>Tou</w:t>
      </w:r>
      <w:proofErr w:type="spellEnd"/>
      <w:r>
        <w:rPr>
          <w:lang w:eastAsia="zh-CN"/>
        </w:rPr>
        <w:t xml:space="preserve"> Yuan qui dirigeait la préfecture de </w:t>
      </w:r>
      <w:proofErr w:type="spellStart"/>
      <w:r>
        <w:rPr>
          <w:lang w:eastAsia="zh-CN"/>
        </w:rPr>
        <w:t>Jingzhou</w:t>
      </w:r>
      <w:proofErr w:type="spellEnd"/>
      <w:r>
        <w:rPr>
          <w:lang w:eastAsia="zh-CN"/>
        </w:rPr>
        <w:t xml:space="preserve"> présenta à l’empereur un avis qui disait en gros que « si cela arrive, on peut débattre de la nature du crime à ce moment, à quoi bon disposer un article à l’avance ? », ce qui était tout ce qu’il y a de plus correct.</w:t>
      </w:r>
    </w:p>
    <w:p w14:paraId="07AD147F" w14:textId="77777777" w:rsidR="00A2513B" w:rsidRDefault="00A2513B">
      <w:bookmarkStart w:id="2" w:name="_GoBack"/>
      <w:bookmarkEnd w:id="2"/>
    </w:p>
    <w:p w14:paraId="6868012F" w14:textId="77777777" w:rsidR="00567592" w:rsidRDefault="00567592"/>
    <w:p w14:paraId="487E8E3F" w14:textId="38040DD9" w:rsidR="00567592" w:rsidRDefault="00A2513B">
      <w:pPr>
        <w:rPr>
          <w:lang w:eastAsia="zh-CN"/>
        </w:rPr>
      </w:pPr>
      <w:r>
        <w:t xml:space="preserve">(Note de JB.) : </w:t>
      </w:r>
      <w:r w:rsidR="00567592">
        <w:t>Tout cela est assez énigmatique, car s’il est une chose bien claire dans le code, tant du point de vue de la définition du crime que de sa sanction</w:t>
      </w:r>
      <w:r w:rsidR="00F6302B">
        <w:t xml:space="preserve"> ( !)</w:t>
      </w:r>
      <w:r w:rsidR="00567592">
        <w:t xml:space="preserve">, c’est bien les crimes entre parents.  Le </w:t>
      </w:r>
      <w:r>
        <w:t xml:space="preserve">plus </w:t>
      </w:r>
      <w:proofErr w:type="spellStart"/>
      <w:r>
        <w:t>ambigü</w:t>
      </w:r>
      <w:proofErr w:type="spellEnd"/>
      <w:r w:rsidR="00567592">
        <w:t>, c’est la formule X</w:t>
      </w:r>
      <w:r w:rsidR="00567592">
        <w:rPr>
          <w:rFonts w:hint="eastAsia"/>
        </w:rPr>
        <w:t>為</w:t>
      </w:r>
      <w:r w:rsidR="00567592">
        <w:t>Y</w:t>
      </w:r>
      <w:r w:rsidR="00567592">
        <w:rPr>
          <w:rFonts w:hint="eastAsia"/>
        </w:rPr>
        <w:t>所殺</w:t>
      </w:r>
      <w:r w:rsidR="00567592">
        <w:rPr>
          <w:rFonts w:hint="eastAsia"/>
        </w:rPr>
        <w:t xml:space="preserve"> </w:t>
      </w:r>
      <w:r w:rsidR="00567592">
        <w:t xml:space="preserve">[Z], qui peut s’interpréter : X fait que Y tue [Z] : ainsi, dans l’article additionnel, il faudrait lire : « le père qui fait que la mère tue leur enfant » </w:t>
      </w:r>
      <w:r w:rsidR="00567592">
        <w:rPr>
          <w:rFonts w:hint="eastAsia"/>
        </w:rPr>
        <w:t>父為母所殺其子</w:t>
      </w:r>
      <w:r w:rsidR="00F6302B">
        <w:t xml:space="preserve"> (et non « le père qui cache le crime de la mère qui a tué leur enfant », comme le lit bizarrement </w:t>
      </w:r>
      <w:proofErr w:type="spellStart"/>
      <w:r w:rsidR="00F6302B">
        <w:t>Philastre</w:t>
      </w:r>
      <w:proofErr w:type="spellEnd"/>
      <w:r w:rsidR="00F6302B">
        <w:t> ; ni « le père qui met à mort la mère », comme le lit Boulais) </w:t>
      </w:r>
      <w:r w:rsidR="00F6302B">
        <w:rPr>
          <w:lang w:eastAsia="zh-CN"/>
        </w:rPr>
        <w:t>? C’est ce que j’ai essayé de faire</w:t>
      </w:r>
      <w:r w:rsidR="00567592">
        <w:rPr>
          <w:lang w:eastAsia="zh-CN"/>
        </w:rPr>
        <w:t xml:space="preserve"> </w:t>
      </w:r>
      <w:r w:rsidR="00F6302B">
        <w:rPr>
          <w:lang w:eastAsia="zh-CN"/>
        </w:rPr>
        <w:t xml:space="preserve">en traduisant la remarque de </w:t>
      </w:r>
      <w:proofErr w:type="spellStart"/>
      <w:r w:rsidR="00F6302B">
        <w:rPr>
          <w:lang w:eastAsia="zh-CN"/>
        </w:rPr>
        <w:t>Xue</w:t>
      </w:r>
      <w:proofErr w:type="spellEnd"/>
      <w:r w:rsidR="00567592">
        <w:rPr>
          <w:lang w:eastAsia="zh-CN"/>
        </w:rPr>
        <w:t xml:space="preserve">: les grands parents qui font se tuer les parents (en suscitant des disputes entre eux), mais ça ne colle pas avec la suite : les frères aînés et cadets qui </w:t>
      </w:r>
      <w:r w:rsidR="00F6302B">
        <w:rPr>
          <w:lang w:eastAsia="zh-CN"/>
        </w:rPr>
        <w:t xml:space="preserve">se blessent et </w:t>
      </w:r>
      <w:r w:rsidR="00567592">
        <w:rPr>
          <w:lang w:eastAsia="zh-CN"/>
        </w:rPr>
        <w:t>s’entretuent</w:t>
      </w:r>
      <w:r w:rsidR="00F6302B">
        <w:rPr>
          <w:lang w:eastAsia="zh-CN"/>
        </w:rPr>
        <w:t xml:space="preserve"> (sans que personne ne le y incitent)</w:t>
      </w:r>
      <w:r w:rsidR="00567592">
        <w:rPr>
          <w:lang w:eastAsia="zh-CN"/>
        </w:rPr>
        <w:t>. Ça ne colle pas non plus avec le précédent qui est à l’origine de l’article additionnel, où père et mère se sont entretués, sans que des grands parents s’en</w:t>
      </w:r>
      <w:r>
        <w:rPr>
          <w:lang w:eastAsia="zh-CN"/>
        </w:rPr>
        <w:t xml:space="preserve"> mêlent ; ni avec l</w:t>
      </w:r>
      <w:r w:rsidR="00567592">
        <w:rPr>
          <w:lang w:eastAsia="zh-CN"/>
        </w:rPr>
        <w:t xml:space="preserve">e dernier cas </w:t>
      </w:r>
      <w:r>
        <w:rPr>
          <w:lang w:eastAsia="zh-CN"/>
        </w:rPr>
        <w:t xml:space="preserve">ancien, datant des Wei Orientaux, que </w:t>
      </w:r>
      <w:proofErr w:type="spellStart"/>
      <w:r>
        <w:rPr>
          <w:lang w:eastAsia="zh-CN"/>
        </w:rPr>
        <w:t>Xue</w:t>
      </w:r>
      <w:proofErr w:type="spellEnd"/>
      <w:r>
        <w:rPr>
          <w:lang w:eastAsia="zh-CN"/>
        </w:rPr>
        <w:t xml:space="preserve"> cite en référence)</w:t>
      </w:r>
    </w:p>
    <w:sectPr w:rsidR="00567592" w:rsidSect="00582BF3">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3C169" w14:textId="77777777" w:rsidR="00F6302B" w:rsidRDefault="00F6302B" w:rsidP="00DD2D63">
      <w:pPr>
        <w:spacing w:after="0"/>
      </w:pPr>
      <w:r>
        <w:separator/>
      </w:r>
    </w:p>
  </w:endnote>
  <w:endnote w:type="continuationSeparator" w:id="0">
    <w:p w14:paraId="2CE6D04B" w14:textId="77777777" w:rsidR="00F6302B" w:rsidRDefault="00F6302B" w:rsidP="00DD2D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細明體">
    <w:charset w:val="51"/>
    <w:family w:val="auto"/>
    <w:pitch w:val="variable"/>
    <w:sig w:usb0="00000001" w:usb1="08080000" w:usb2="00000010" w:usb3="00000000" w:csb0="00100000" w:csb1="00000000"/>
  </w:font>
  <w:font w:name="Microsoft Tai Le">
    <w:panose1 w:val="020B0502040204020203"/>
    <w:charset w:val="00"/>
    <w:family w:val="auto"/>
    <w:pitch w:val="variable"/>
    <w:sig w:usb0="00000003" w:usb1="00000000" w:usb2="40000000" w:usb3="00000000" w:csb0="00000001" w:csb1="00000000"/>
  </w:font>
  <w:font w:name="Microsoft Himalaya">
    <w:panose1 w:val="01010100010101010101"/>
    <w:charset w:val="00"/>
    <w:family w:val="auto"/>
    <w:pitch w:val="variable"/>
    <w:sig w:usb0="80000003" w:usb1="00010000" w:usb2="0000004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EC8A2" w14:textId="77777777" w:rsidR="00F6302B" w:rsidRDefault="00F6302B" w:rsidP="00DD2D63">
      <w:pPr>
        <w:spacing w:after="0"/>
      </w:pPr>
      <w:r>
        <w:separator/>
      </w:r>
    </w:p>
  </w:footnote>
  <w:footnote w:type="continuationSeparator" w:id="0">
    <w:p w14:paraId="0405DD9C" w14:textId="77777777" w:rsidR="00F6302B" w:rsidRDefault="00F6302B" w:rsidP="00DD2D63">
      <w:pPr>
        <w:spacing w:after="0"/>
      </w:pPr>
      <w:r>
        <w:continuationSeparator/>
      </w:r>
    </w:p>
  </w:footnote>
  <w:footnote w:id="1">
    <w:p w14:paraId="0A969982" w14:textId="77777777" w:rsidR="00F6302B" w:rsidRDefault="00F6302B">
      <w:pPr>
        <w:pStyle w:val="Notedebasdepage"/>
      </w:pPr>
      <w:r>
        <w:rPr>
          <w:rStyle w:val="Marquenotebasdepage"/>
        </w:rPr>
        <w:footnoteRef/>
      </w:r>
      <w:r>
        <w:t xml:space="preserve"> « En cas de crime, </w:t>
      </w:r>
      <w:r>
        <w:rPr>
          <w:sz w:val="20"/>
          <w:szCs w:val="20"/>
        </w:rPr>
        <w:t xml:space="preserve">les susnommés doivent </w:t>
      </w:r>
      <w:r>
        <w:t>se donner asile et se cacher mutuellement » : on peut donner une traduction plus élégante, moins ambiguë, mais je trouve qu’il faut respecter l’original, même dans ses défauts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AFC"/>
    <w:rsid w:val="0000046E"/>
    <w:rsid w:val="00045F8D"/>
    <w:rsid w:val="000D457E"/>
    <w:rsid w:val="00192B8B"/>
    <w:rsid w:val="002114FD"/>
    <w:rsid w:val="00226CEE"/>
    <w:rsid w:val="00242D52"/>
    <w:rsid w:val="00272562"/>
    <w:rsid w:val="00292697"/>
    <w:rsid w:val="00297375"/>
    <w:rsid w:val="003520AC"/>
    <w:rsid w:val="003A5205"/>
    <w:rsid w:val="00431103"/>
    <w:rsid w:val="004528D8"/>
    <w:rsid w:val="0045788E"/>
    <w:rsid w:val="004860F2"/>
    <w:rsid w:val="00563DFD"/>
    <w:rsid w:val="00567592"/>
    <w:rsid w:val="00582BF3"/>
    <w:rsid w:val="005D0D75"/>
    <w:rsid w:val="005D709A"/>
    <w:rsid w:val="00611CD1"/>
    <w:rsid w:val="00632FCC"/>
    <w:rsid w:val="00644A65"/>
    <w:rsid w:val="0065749A"/>
    <w:rsid w:val="00661533"/>
    <w:rsid w:val="00664AFC"/>
    <w:rsid w:val="006B3498"/>
    <w:rsid w:val="006B36ED"/>
    <w:rsid w:val="006D6AE7"/>
    <w:rsid w:val="00700937"/>
    <w:rsid w:val="007D64EC"/>
    <w:rsid w:val="00803067"/>
    <w:rsid w:val="00813E34"/>
    <w:rsid w:val="008930D1"/>
    <w:rsid w:val="008B7EF0"/>
    <w:rsid w:val="008E54C0"/>
    <w:rsid w:val="008F0DE0"/>
    <w:rsid w:val="009568F0"/>
    <w:rsid w:val="009617AE"/>
    <w:rsid w:val="00976C84"/>
    <w:rsid w:val="009E491C"/>
    <w:rsid w:val="00A2513B"/>
    <w:rsid w:val="00A52036"/>
    <w:rsid w:val="00A5699A"/>
    <w:rsid w:val="00A704C7"/>
    <w:rsid w:val="00A9080D"/>
    <w:rsid w:val="00AB5133"/>
    <w:rsid w:val="00B04CF8"/>
    <w:rsid w:val="00B136F4"/>
    <w:rsid w:val="00BD068B"/>
    <w:rsid w:val="00C04759"/>
    <w:rsid w:val="00C140C4"/>
    <w:rsid w:val="00C229D7"/>
    <w:rsid w:val="00C352BC"/>
    <w:rsid w:val="00C45776"/>
    <w:rsid w:val="00C46761"/>
    <w:rsid w:val="00C47654"/>
    <w:rsid w:val="00C62D8B"/>
    <w:rsid w:val="00C90339"/>
    <w:rsid w:val="00CA7322"/>
    <w:rsid w:val="00D31643"/>
    <w:rsid w:val="00D95D2B"/>
    <w:rsid w:val="00DD2D63"/>
    <w:rsid w:val="00DD6C67"/>
    <w:rsid w:val="00E13DE8"/>
    <w:rsid w:val="00EB110F"/>
    <w:rsid w:val="00EF223A"/>
    <w:rsid w:val="00F451D1"/>
    <w:rsid w:val="00F6302B"/>
    <w:rsid w:val="00F77C6A"/>
    <w:rsid w:val="00F84679"/>
    <w:rsid w:val="00FB6CC4"/>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CBC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AFC"/>
    <w:rPr>
      <w:rFonts w:ascii="Times New Roman" w:hAnsi="Times New Roman"/>
      <w:sz w:val="24"/>
      <w:szCs w:val="24"/>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
    <w:name w:val="citation"/>
    <w:basedOn w:val="Normal"/>
    <w:qFormat/>
    <w:rsid w:val="008F0DE0"/>
    <w:pPr>
      <w:spacing w:before="100" w:beforeAutospacing="1"/>
      <w:ind w:left="567"/>
    </w:pPr>
    <w:rPr>
      <w:rFonts w:eastAsia="宋体"/>
      <w:sz w:val="22"/>
    </w:rPr>
  </w:style>
  <w:style w:type="paragraph" w:styleId="Notedebasdepage">
    <w:name w:val="footnote text"/>
    <w:basedOn w:val="Normal"/>
    <w:link w:val="NotedebasdepageCar"/>
    <w:uiPriority w:val="99"/>
    <w:unhideWhenUsed/>
    <w:rsid w:val="00DD2D63"/>
    <w:pPr>
      <w:spacing w:after="0"/>
    </w:pPr>
  </w:style>
  <w:style w:type="character" w:customStyle="1" w:styleId="NotedebasdepageCar">
    <w:name w:val="Note de bas de page Car"/>
    <w:basedOn w:val="Policepardfaut"/>
    <w:link w:val="Notedebasdepage"/>
    <w:uiPriority w:val="99"/>
    <w:rsid w:val="00DD2D63"/>
    <w:rPr>
      <w:rFonts w:ascii="Times New Roman" w:hAnsi="Times New Roman"/>
      <w:sz w:val="24"/>
      <w:szCs w:val="24"/>
      <w:lang w:eastAsia="zh-TW"/>
    </w:rPr>
  </w:style>
  <w:style w:type="character" w:styleId="Marquenotebasdepage">
    <w:name w:val="footnote reference"/>
    <w:basedOn w:val="Policepardfaut"/>
    <w:uiPriority w:val="99"/>
    <w:unhideWhenUsed/>
    <w:rsid w:val="00DD2D63"/>
    <w:rPr>
      <w:vertAlign w:val="superscript"/>
    </w:rPr>
  </w:style>
  <w:style w:type="paragraph" w:styleId="NormalWeb">
    <w:name w:val="Normal (Web)"/>
    <w:basedOn w:val="Normal"/>
    <w:uiPriority w:val="99"/>
    <w:unhideWhenUsed/>
    <w:rsid w:val="00EB110F"/>
    <w:pPr>
      <w:spacing w:before="100" w:beforeAutospacing="1" w:after="100" w:afterAutospacing="1"/>
    </w:pPr>
    <w:rPr>
      <w:rFonts w:ascii="Times" w:hAnsi="Times" w:cs="Times New Roman"/>
      <w:sz w:val="20"/>
      <w:szCs w:val="20"/>
      <w:lang w:eastAsia="fr-FR"/>
    </w:rPr>
  </w:style>
  <w:style w:type="paragraph" w:customStyle="1" w:styleId="codetitle">
    <w:name w:val="codetitle"/>
    <w:basedOn w:val="Normal"/>
    <w:rsid w:val="00EB110F"/>
    <w:pPr>
      <w:spacing w:before="100" w:beforeAutospacing="1" w:after="100" w:afterAutospacing="1"/>
    </w:pPr>
    <w:rPr>
      <w:rFonts w:ascii="Times" w:hAnsi="Times"/>
      <w:sz w:val="20"/>
      <w:szCs w:val="20"/>
      <w:lang w:eastAsia="fr-FR"/>
    </w:rPr>
  </w:style>
  <w:style w:type="character" w:styleId="Lienhypertexte">
    <w:name w:val="Hyperlink"/>
    <w:basedOn w:val="Policepardfaut"/>
    <w:uiPriority w:val="99"/>
    <w:unhideWhenUsed/>
    <w:rsid w:val="009617AE"/>
    <w:rPr>
      <w:color w:val="0000FF"/>
      <w:u w:val="single"/>
    </w:rPr>
  </w:style>
  <w:style w:type="character" w:styleId="Lienhypertextesuivi">
    <w:name w:val="FollowedHyperlink"/>
    <w:basedOn w:val="Policepardfaut"/>
    <w:uiPriority w:val="99"/>
    <w:semiHidden/>
    <w:unhideWhenUsed/>
    <w:rsid w:val="0045788E"/>
    <w:rPr>
      <w:color w:val="800080" w:themeColor="followedHyperlink"/>
      <w:u w:val="single"/>
    </w:rPr>
  </w:style>
  <w:style w:type="paragraph" w:styleId="Textedebulles">
    <w:name w:val="Balloon Text"/>
    <w:basedOn w:val="Normal"/>
    <w:link w:val="TextedebullesCar"/>
    <w:uiPriority w:val="99"/>
    <w:semiHidden/>
    <w:unhideWhenUsed/>
    <w:rsid w:val="008E54C0"/>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8E54C0"/>
    <w:rPr>
      <w:rFonts w:ascii="Lucida Grande" w:hAnsi="Lucida Grande"/>
      <w:sz w:val="18"/>
      <w:szCs w:val="18"/>
      <w:lang w:eastAsia="zh-TW"/>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AFC"/>
    <w:rPr>
      <w:rFonts w:ascii="Times New Roman" w:hAnsi="Times New Roman"/>
      <w:sz w:val="24"/>
      <w:szCs w:val="24"/>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
    <w:name w:val="citation"/>
    <w:basedOn w:val="Normal"/>
    <w:qFormat/>
    <w:rsid w:val="008F0DE0"/>
    <w:pPr>
      <w:spacing w:before="100" w:beforeAutospacing="1"/>
      <w:ind w:left="567"/>
    </w:pPr>
    <w:rPr>
      <w:rFonts w:eastAsia="宋体"/>
      <w:sz w:val="22"/>
    </w:rPr>
  </w:style>
  <w:style w:type="paragraph" w:styleId="Notedebasdepage">
    <w:name w:val="footnote text"/>
    <w:basedOn w:val="Normal"/>
    <w:link w:val="NotedebasdepageCar"/>
    <w:uiPriority w:val="99"/>
    <w:unhideWhenUsed/>
    <w:rsid w:val="00DD2D63"/>
    <w:pPr>
      <w:spacing w:after="0"/>
    </w:pPr>
  </w:style>
  <w:style w:type="character" w:customStyle="1" w:styleId="NotedebasdepageCar">
    <w:name w:val="Note de bas de page Car"/>
    <w:basedOn w:val="Policepardfaut"/>
    <w:link w:val="Notedebasdepage"/>
    <w:uiPriority w:val="99"/>
    <w:rsid w:val="00DD2D63"/>
    <w:rPr>
      <w:rFonts w:ascii="Times New Roman" w:hAnsi="Times New Roman"/>
      <w:sz w:val="24"/>
      <w:szCs w:val="24"/>
      <w:lang w:eastAsia="zh-TW"/>
    </w:rPr>
  </w:style>
  <w:style w:type="character" w:styleId="Marquenotebasdepage">
    <w:name w:val="footnote reference"/>
    <w:basedOn w:val="Policepardfaut"/>
    <w:uiPriority w:val="99"/>
    <w:unhideWhenUsed/>
    <w:rsid w:val="00DD2D63"/>
    <w:rPr>
      <w:vertAlign w:val="superscript"/>
    </w:rPr>
  </w:style>
  <w:style w:type="paragraph" w:styleId="NormalWeb">
    <w:name w:val="Normal (Web)"/>
    <w:basedOn w:val="Normal"/>
    <w:uiPriority w:val="99"/>
    <w:unhideWhenUsed/>
    <w:rsid w:val="00EB110F"/>
    <w:pPr>
      <w:spacing w:before="100" w:beforeAutospacing="1" w:after="100" w:afterAutospacing="1"/>
    </w:pPr>
    <w:rPr>
      <w:rFonts w:ascii="Times" w:hAnsi="Times" w:cs="Times New Roman"/>
      <w:sz w:val="20"/>
      <w:szCs w:val="20"/>
      <w:lang w:eastAsia="fr-FR"/>
    </w:rPr>
  </w:style>
  <w:style w:type="paragraph" w:customStyle="1" w:styleId="codetitle">
    <w:name w:val="codetitle"/>
    <w:basedOn w:val="Normal"/>
    <w:rsid w:val="00EB110F"/>
    <w:pPr>
      <w:spacing w:before="100" w:beforeAutospacing="1" w:after="100" w:afterAutospacing="1"/>
    </w:pPr>
    <w:rPr>
      <w:rFonts w:ascii="Times" w:hAnsi="Times"/>
      <w:sz w:val="20"/>
      <w:szCs w:val="20"/>
      <w:lang w:eastAsia="fr-FR"/>
    </w:rPr>
  </w:style>
  <w:style w:type="character" w:styleId="Lienhypertexte">
    <w:name w:val="Hyperlink"/>
    <w:basedOn w:val="Policepardfaut"/>
    <w:uiPriority w:val="99"/>
    <w:unhideWhenUsed/>
    <w:rsid w:val="009617AE"/>
    <w:rPr>
      <w:color w:val="0000FF"/>
      <w:u w:val="single"/>
    </w:rPr>
  </w:style>
  <w:style w:type="character" w:styleId="Lienhypertextesuivi">
    <w:name w:val="FollowedHyperlink"/>
    <w:basedOn w:val="Policepardfaut"/>
    <w:uiPriority w:val="99"/>
    <w:semiHidden/>
    <w:unhideWhenUsed/>
    <w:rsid w:val="0045788E"/>
    <w:rPr>
      <w:color w:val="800080" w:themeColor="followedHyperlink"/>
      <w:u w:val="single"/>
    </w:rPr>
  </w:style>
  <w:style w:type="paragraph" w:styleId="Textedebulles">
    <w:name w:val="Balloon Text"/>
    <w:basedOn w:val="Normal"/>
    <w:link w:val="TextedebullesCar"/>
    <w:uiPriority w:val="99"/>
    <w:semiHidden/>
    <w:unhideWhenUsed/>
    <w:rsid w:val="008E54C0"/>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8E54C0"/>
    <w:rPr>
      <w:rFonts w:ascii="Lucida Grande" w:hAnsi="Lucida Grande"/>
      <w:sz w:val="18"/>
      <w:szCs w:val="1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948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lsc.chineselegalculture.org/Code/Da_Qing_luli_content" TargetMode="External"/><Relationship Id="rId8" Type="http://schemas.openxmlformats.org/officeDocument/2006/relationships/hyperlink" Target="http://www.terada.law.kyoto-u.ac.jp/dlcy/" TargetMode="External"/><Relationship Id="rId9" Type="http://schemas.openxmlformats.org/officeDocument/2006/relationships/image" Target="media/image1.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4</Pages>
  <Words>1489</Words>
  <Characters>8190</Characters>
  <Application>Microsoft Macintosh Word</Application>
  <DocSecurity>0</DocSecurity>
  <Lines>68</Lines>
  <Paragraphs>19</Paragraphs>
  <ScaleCrop>false</ScaleCrop>
  <Company/>
  <LinksUpToDate>false</LinksUpToDate>
  <CharactersWithSpaces>9660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14</cp:revision>
  <dcterms:created xsi:type="dcterms:W3CDTF">2012-11-04T16:40:00Z</dcterms:created>
  <dcterms:modified xsi:type="dcterms:W3CDTF">2012-11-07T09:19:00Z</dcterms:modified>
</cp:coreProperties>
</file>