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E011E" w14:textId="77777777" w:rsidR="00700937" w:rsidRPr="00CB64A4" w:rsidRDefault="0009517D">
      <w:pPr>
        <w:rPr>
          <w:lang w:val="en-US"/>
        </w:rPr>
      </w:pPr>
      <w:r w:rsidRPr="00CB64A4">
        <w:rPr>
          <w:lang w:val="en-US"/>
        </w:rPr>
        <w:t>Extrait de Hell of a law (toujours pas publié !)</w:t>
      </w:r>
    </w:p>
    <w:p w14:paraId="224DA4CE" w14:textId="77777777" w:rsidR="0009517D" w:rsidRPr="00CB64A4" w:rsidRDefault="0009517D">
      <w:pPr>
        <w:rPr>
          <w:lang w:val="en-US"/>
        </w:rPr>
      </w:pPr>
    </w:p>
    <w:p w14:paraId="17B84290" w14:textId="77777777" w:rsidR="0009517D" w:rsidRPr="00CB64A4" w:rsidRDefault="0009517D" w:rsidP="0009517D">
      <w:pPr>
        <w:spacing w:line="360" w:lineRule="auto"/>
        <w:jc w:val="both"/>
        <w:outlineLvl w:val="0"/>
        <w:rPr>
          <w:rFonts w:ascii="Times" w:eastAsia="細明體" w:hAnsi="Times"/>
          <w:b/>
          <w:lang w:val="en-US" w:eastAsia="zh-TW"/>
        </w:rPr>
      </w:pPr>
      <w:r w:rsidRPr="00CB64A4">
        <w:rPr>
          <w:rFonts w:ascii="Times" w:eastAsia="細明體" w:hAnsi="Times"/>
          <w:b/>
          <w:lang w:val="en-US" w:eastAsia="zh-TW"/>
        </w:rPr>
        <w:t>Retribution of sins v. Punishment of crimes</w:t>
      </w:r>
    </w:p>
    <w:p w14:paraId="12DE4BFB" w14:textId="77777777" w:rsidR="0009517D" w:rsidRPr="00CB64A4" w:rsidRDefault="0009517D" w:rsidP="0009517D">
      <w:pPr>
        <w:spacing w:line="360" w:lineRule="auto"/>
        <w:jc w:val="both"/>
        <w:rPr>
          <w:rFonts w:ascii="Times" w:eastAsia="細明體" w:hAnsi="Times"/>
          <w:lang w:val="en-US" w:eastAsia="zh-TW"/>
        </w:rPr>
      </w:pPr>
      <w:r w:rsidRPr="00CB64A4">
        <w:rPr>
          <w:rFonts w:ascii="Times" w:eastAsia="細明體" w:hAnsi="Times"/>
          <w:lang w:val="en-US" w:eastAsia="zh-TW"/>
        </w:rPr>
        <w:tab/>
        <w:t xml:space="preserve">The aforementioned discrepancy between punishments of this world and those of the Netherworld results from their aiming at two different targets. Legal codes are intended to punish crimes, while the deeds punished in hells are sins. Crimes and sins overlap to some extent, all the more in China where the same term of </w:t>
      </w:r>
      <w:r w:rsidRPr="00CB64A4">
        <w:rPr>
          <w:rFonts w:ascii="Times" w:eastAsia="細明體" w:hAnsi="Times" w:cs="新細明體"/>
          <w:lang w:val="en-US" w:eastAsia="zh-TW"/>
        </w:rPr>
        <w:t>罪</w:t>
      </w:r>
      <w:r w:rsidRPr="00CB64A4">
        <w:rPr>
          <w:rFonts w:ascii="Times" w:eastAsia="細明體" w:hAnsi="Times" w:cs="新細明體"/>
          <w:lang w:val="en-US" w:eastAsia="zh-TW"/>
        </w:rPr>
        <w:t xml:space="preserve"> can have these two meanings</w:t>
      </w:r>
      <w:r w:rsidRPr="00CB64A4">
        <w:rPr>
          <w:rFonts w:ascii="Times" w:eastAsia="細明體" w:hAnsi="Times"/>
          <w:lang w:val="en-US" w:eastAsia="zh-TW"/>
        </w:rPr>
        <w:t>. Using a same term did not entail confusion between these two notions, however. Many actions considered as sins, some of which have just been mentioned above, were not punished as crimes.  That deeds can be morally condemnable without being legally punishable is constitutive of the very notion of Law.  This was true in imperial China, despite one sinological cliché has been to assert that traditional Chinese law was not distinct from morals, or that law was used mainly to restore the “cosmic order” (</w:t>
      </w:r>
      <w:r w:rsidRPr="00CB64A4">
        <w:rPr>
          <w:rFonts w:ascii="Times" w:eastAsia="細明體" w:hAnsi="Times"/>
          <w:i/>
          <w:lang w:val="en-US" w:eastAsia="zh-TW"/>
        </w:rPr>
        <w:t>i.e.</w:t>
      </w:r>
      <w:r w:rsidRPr="00CB64A4">
        <w:rPr>
          <w:rFonts w:ascii="Times" w:eastAsia="細明體" w:hAnsi="Times"/>
          <w:lang w:val="en-US" w:eastAsia="zh-TW"/>
        </w:rPr>
        <w:t xml:space="preserve"> the moral order).</w:t>
      </w:r>
      <w:r w:rsidRPr="00CB64A4">
        <w:rPr>
          <w:rStyle w:val="Marquenotebasdepage"/>
          <w:rFonts w:ascii="Times" w:eastAsia="細明體" w:hAnsi="Times"/>
          <w:lang w:val="en-US" w:eastAsia="zh-TW"/>
        </w:rPr>
        <w:footnoteReference w:id="1"/>
      </w:r>
      <w:r w:rsidRPr="00CB64A4">
        <w:rPr>
          <w:rFonts w:ascii="Times" w:eastAsia="細明體" w:hAnsi="Times"/>
          <w:lang w:val="en-US" w:eastAsia="zh-TW"/>
        </w:rPr>
        <w:t xml:space="preserve"> More accurately, the area where sins and crimes overlapped or interacted was the object of a particular attention, and of careful doctrinal elaboration, in jurisprudence as well as in religious literature. This area was aptly circumscribed by the enumeration of “Ten evils,” which we find as the article 2 of the penal codes of various dynasties from the Tang to the Ming and Qing; and we find the same term in the ninth of the ten courts of the Buddhist hell. Admittedly, the definition of these evils is not exactly the same in the legal code and in the religious treatise,</w:t>
      </w:r>
      <w:r w:rsidRPr="00CB64A4">
        <w:rPr>
          <w:rStyle w:val="Marquenotebasdepage"/>
          <w:rFonts w:ascii="Times" w:eastAsia="細明體" w:hAnsi="Times"/>
          <w:lang w:val="en-US" w:eastAsia="zh-TW"/>
        </w:rPr>
        <w:footnoteReference w:id="2"/>
      </w:r>
      <w:r w:rsidRPr="00CB64A4">
        <w:rPr>
          <w:rFonts w:ascii="Times" w:eastAsia="細明體" w:hAnsi="Times"/>
          <w:lang w:val="en-US" w:eastAsia="zh-TW"/>
        </w:rPr>
        <w:t xml:space="preserve"> but the general inspiration is the same. These are unpardonable deeds, probably modeled after the Ten Parajika </w:t>
      </w:r>
      <w:r w:rsidRPr="00CB64A4">
        <w:rPr>
          <w:rFonts w:ascii="Times" w:eastAsia="細明體" w:hAnsi="Times" w:cs="新細明體"/>
          <w:lang w:val="en-US" w:eastAsia="zh-TW"/>
        </w:rPr>
        <w:t>波羅夷</w:t>
      </w:r>
      <w:r w:rsidRPr="00CB64A4">
        <w:rPr>
          <w:rFonts w:ascii="Times" w:eastAsia="細明體" w:hAnsi="Times"/>
          <w:lang w:val="en-US" w:eastAsia="zh-TW"/>
        </w:rPr>
        <w:t>, the Ten unpardonable sins that entail immediate expulsion from the monks’ community.</w:t>
      </w:r>
      <w:r w:rsidRPr="00CB64A4">
        <w:rPr>
          <w:rStyle w:val="Marquenotebasdepage"/>
          <w:rFonts w:ascii="Times" w:eastAsia="細明體" w:hAnsi="Times"/>
          <w:lang w:val="en-US" w:eastAsia="zh-TW"/>
        </w:rPr>
        <w:footnoteReference w:id="3"/>
      </w:r>
      <w:r w:rsidRPr="00CB64A4">
        <w:rPr>
          <w:rFonts w:ascii="Times" w:eastAsia="細明體" w:hAnsi="Times"/>
          <w:lang w:val="en-US" w:eastAsia="zh-TW"/>
        </w:rPr>
        <w:t xml:space="preserve"> Committing one of the “Ten evils” </w:t>
      </w:r>
      <w:r w:rsidRPr="00CB64A4">
        <w:rPr>
          <w:rFonts w:ascii="Times" w:eastAsia="細明體" w:hAnsi="Times"/>
          <w:lang w:val="en-US" w:eastAsia="zh-TW"/>
        </w:rPr>
        <w:lastRenderedPageBreak/>
        <w:t xml:space="preserve">ineluctably condemns the evildoer to one of the “three lower paths of rebirth” </w:t>
      </w:r>
      <w:r w:rsidRPr="00CB64A4">
        <w:rPr>
          <w:rFonts w:ascii="Times" w:eastAsia="細明體" w:hAnsi="Times" w:cs="新細明體"/>
          <w:lang w:val="en-US" w:eastAsia="zh-TW"/>
        </w:rPr>
        <w:t>三塗</w:t>
      </w:r>
      <w:r w:rsidRPr="00CB64A4">
        <w:rPr>
          <w:rFonts w:ascii="Times" w:eastAsia="細明體" w:hAnsi="Times"/>
          <w:lang w:val="en-US" w:eastAsia="zh-TW"/>
        </w:rPr>
        <w:t xml:space="preserve"> :one will be reborn as a an animal, a hungry ghost, or a hell being.</w:t>
      </w:r>
      <w:r w:rsidRPr="00CB64A4">
        <w:rPr>
          <w:rStyle w:val="Marquenotebasdepage"/>
          <w:rFonts w:ascii="Times" w:eastAsia="細明體" w:hAnsi="Times"/>
          <w:lang w:val="en-US" w:eastAsia="zh-TW"/>
        </w:rPr>
        <w:footnoteReference w:id="4"/>
      </w:r>
    </w:p>
    <w:p w14:paraId="7515A277" w14:textId="41CB5B4B" w:rsidR="0009517D" w:rsidRPr="00CB64A4" w:rsidRDefault="0009517D" w:rsidP="0009517D">
      <w:pPr>
        <w:spacing w:line="360" w:lineRule="auto"/>
        <w:jc w:val="both"/>
        <w:rPr>
          <w:rFonts w:ascii="Times" w:eastAsia="細明體" w:hAnsi="Times"/>
          <w:lang w:val="en-US" w:eastAsia="zh-TW"/>
        </w:rPr>
      </w:pPr>
      <w:r w:rsidRPr="00CB64A4">
        <w:rPr>
          <w:rFonts w:ascii="Times" w:eastAsia="細明體" w:hAnsi="Times"/>
          <w:lang w:val="en-US" w:eastAsia="zh-TW"/>
        </w:rPr>
        <w:tab/>
        <w:t xml:space="preserve"> In the Ming and Qing code (</w:t>
      </w:r>
      <w:r w:rsidRPr="00CB64A4">
        <w:rPr>
          <w:rFonts w:ascii="Times" w:eastAsia="細明體" w:hAnsi="Times" w:cs="新細明體"/>
          <w:lang w:val="en-US" w:eastAsia="zh-TW"/>
        </w:rPr>
        <w:t>明清律</w:t>
      </w:r>
      <w:r w:rsidRPr="00CB64A4">
        <w:rPr>
          <w:rFonts w:ascii="Times" w:eastAsia="細明體" w:hAnsi="Times" w:cs="ＭＳ 明朝"/>
          <w:lang w:val="en-US" w:eastAsia="ja-JP"/>
        </w:rPr>
        <w:t>)</w:t>
      </w:r>
      <w:r w:rsidRPr="00CB64A4">
        <w:rPr>
          <w:rFonts w:ascii="Times" w:eastAsia="細明體" w:hAnsi="Times"/>
          <w:lang w:val="en-US" w:eastAsia="zh-TW"/>
        </w:rPr>
        <w:t xml:space="preserve">, the “ten evils” are defined as “crimes of a particular heinousness, which imperial laws cannot be lax upon. For those of these crimes that incur death penalty, they cannot beneficiate from an amnesty; for those that are not capital crimes, they nonetheless offence the rules of propriety, hence their labeling at the very beginning of the penal code, for warning people to keep from them” </w:t>
      </w:r>
      <w:r w:rsidRPr="00CB64A4">
        <w:rPr>
          <w:rFonts w:ascii="Times" w:eastAsia="細明體" w:hAnsi="Times" w:cs="新細明體"/>
          <w:lang w:val="en-US" w:eastAsia="zh-TW"/>
        </w:rPr>
        <w:t>此十惡，皆罪大惡極，王法所不容。其罪至死者，固恩赦所不原，即罪不至死者，亦俱有乖倫理，故特揭其名目於律首，使人知所警也。</w:t>
      </w:r>
      <w:r w:rsidRPr="00CB64A4">
        <w:rPr>
          <w:rStyle w:val="Marquenotebasdepage"/>
          <w:rFonts w:ascii="Times" w:eastAsia="細明體" w:hAnsi="Times" w:cs="新細明體"/>
          <w:lang w:val="en-US" w:eastAsia="zh-TW"/>
        </w:rPr>
        <w:footnoteReference w:id="5"/>
      </w:r>
      <w:r w:rsidRPr="00CB64A4">
        <w:rPr>
          <w:rFonts w:ascii="Times" w:eastAsia="細明體" w:hAnsi="Times"/>
          <w:lang w:val="en-US" w:eastAsia="zh-TW"/>
        </w:rPr>
        <w:t xml:space="preserve"> There, the penal code </w:t>
      </w:r>
      <w:r w:rsidRPr="00CB64A4">
        <w:rPr>
          <w:rFonts w:ascii="Times" w:eastAsia="細明體" w:hAnsi="Times" w:cs="新細明體"/>
          <w:lang w:val="en-US" w:eastAsia="zh-TW"/>
        </w:rPr>
        <w:t>律</w:t>
      </w:r>
      <w:r w:rsidRPr="00CB64A4">
        <w:rPr>
          <w:rFonts w:ascii="Times" w:eastAsia="細明體" w:hAnsi="Times"/>
          <w:lang w:val="en-US" w:eastAsia="zh-TW"/>
        </w:rPr>
        <w:t xml:space="preserve"> circumscribes in legal terms the field where crime and sins interact.</w:t>
      </w:r>
      <w:r w:rsidRPr="00CB64A4">
        <w:rPr>
          <w:rStyle w:val="Marquenotebasdepage"/>
          <w:rFonts w:ascii="Times" w:eastAsia="細明體" w:hAnsi="Times"/>
          <w:lang w:val="en-US" w:eastAsia="zh-TW"/>
        </w:rPr>
        <w:footnoteReference w:id="6"/>
      </w:r>
      <w:r w:rsidRPr="00CB64A4">
        <w:rPr>
          <w:rFonts w:ascii="Times" w:eastAsia="細明體" w:hAnsi="Times"/>
          <w:lang w:val="en-US" w:eastAsia="zh-TW"/>
        </w:rPr>
        <w:t xml:space="preserve"> This is a vast area, encompassing many kinds of deeds common point o</w:t>
      </w:r>
      <w:r w:rsidR="005C0C76">
        <w:rPr>
          <w:rFonts w:ascii="Times" w:eastAsia="細明體" w:hAnsi="Times"/>
          <w:lang w:val="en-US" w:eastAsia="zh-TW"/>
        </w:rPr>
        <w:t>f which is to be “extremely wicked</w:t>
      </w:r>
      <w:bookmarkStart w:id="0" w:name="_GoBack"/>
      <w:bookmarkEnd w:id="0"/>
      <w:r w:rsidRPr="00CB64A4">
        <w:rPr>
          <w:rFonts w:ascii="Times" w:eastAsia="細明體" w:hAnsi="Times"/>
          <w:lang w:val="en-US" w:eastAsia="zh-TW"/>
        </w:rPr>
        <w:t>” or “heinous” (</w:t>
      </w:r>
      <w:r w:rsidRPr="00CB64A4">
        <w:rPr>
          <w:rFonts w:ascii="Times" w:eastAsia="細明體" w:hAnsi="Times" w:cs="新細明體"/>
          <w:lang w:val="en-US" w:eastAsia="zh-TW"/>
        </w:rPr>
        <w:t>惡極</w:t>
      </w:r>
      <w:r w:rsidRPr="00CB64A4">
        <w:rPr>
          <w:rFonts w:ascii="Times" w:eastAsia="細明體" w:hAnsi="Times" w:cs="新細明體"/>
          <w:lang w:val="en-US" w:eastAsia="zh-TW"/>
        </w:rPr>
        <w:t xml:space="preserve">), that is to say </w:t>
      </w:r>
      <w:r w:rsidRPr="00CB64A4">
        <w:rPr>
          <w:rFonts w:ascii="Times" w:eastAsia="細明體" w:hAnsi="Times"/>
          <w:lang w:val="en-US" w:eastAsia="zh-TW"/>
        </w:rPr>
        <w:t xml:space="preserve">infected to the core by sin, so much so that their definition sounds as a moral condemnation as much as a penal characterization. Revealingly, such labeling does not automatically imply a particular penalty. A legal punishment was involved only if the sinful mind found its outlet in a crime punished by law. The various kinds of rebellions evoked in the three first items were for sure among the gravest capital crimes, but labels as “unkindness” </w:t>
      </w:r>
      <w:r w:rsidRPr="00CB64A4">
        <w:rPr>
          <w:rFonts w:ascii="Times" w:eastAsia="細明體" w:hAnsi="Times" w:cs="新細明體"/>
          <w:lang w:val="en-US" w:eastAsia="zh-TW"/>
        </w:rPr>
        <w:t>不睦</w:t>
      </w:r>
      <w:r w:rsidRPr="00CB64A4">
        <w:rPr>
          <w:rFonts w:ascii="Times" w:eastAsia="細明體" w:hAnsi="Times"/>
          <w:lang w:val="en-US"/>
        </w:rPr>
        <w:t xml:space="preserve"> </w:t>
      </w:r>
      <w:r w:rsidRPr="00CB64A4">
        <w:rPr>
          <w:rFonts w:ascii="Times" w:eastAsia="細明體" w:hAnsi="Times"/>
          <w:lang w:val="en-US" w:eastAsia="zh-TW"/>
        </w:rPr>
        <w:t xml:space="preserve">or “unrighteousness” </w:t>
      </w:r>
      <w:r w:rsidRPr="00CB64A4">
        <w:rPr>
          <w:rFonts w:ascii="Times" w:eastAsia="細明體" w:hAnsi="Times" w:cs="新細明體"/>
          <w:lang w:val="en-US" w:eastAsia="zh-TW"/>
        </w:rPr>
        <w:t>不義</w:t>
      </w:r>
      <w:r w:rsidRPr="00CB64A4">
        <w:rPr>
          <w:rFonts w:ascii="Times" w:eastAsia="細明體" w:hAnsi="Times"/>
          <w:lang w:val="en-US" w:eastAsia="zh-TW"/>
        </w:rPr>
        <w:t xml:space="preserve"> covered deeds that, even when legally punishable, were hard to prosecute, such like non wearing mourning garments or remarry during mourning periods. </w:t>
      </w:r>
    </w:p>
    <w:p w14:paraId="5A06979B" w14:textId="18530C84" w:rsidR="0009517D" w:rsidRPr="00CB64A4" w:rsidRDefault="0009517D" w:rsidP="0009517D">
      <w:pPr>
        <w:spacing w:line="360" w:lineRule="auto"/>
        <w:jc w:val="both"/>
        <w:rPr>
          <w:rFonts w:ascii="Times" w:eastAsia="細明體" w:hAnsi="Times" w:cs="宋体"/>
          <w:lang w:val="en-US" w:eastAsia="zh-CN"/>
        </w:rPr>
      </w:pPr>
      <w:r w:rsidRPr="00CB64A4">
        <w:rPr>
          <w:rFonts w:ascii="Times" w:eastAsia="細明體" w:hAnsi="Times"/>
          <w:lang w:val="en-US" w:eastAsia="zh-TW"/>
        </w:rPr>
        <w:tab/>
        <w:t xml:space="preserve">The specific punishment for the most heinous crimes pertaining to the “ten evils” was death by dismemberment </w:t>
      </w:r>
      <w:r w:rsidRPr="00CB64A4">
        <w:rPr>
          <w:rFonts w:ascii="Times" w:eastAsia="細明體" w:hAnsi="Times" w:cs="新細明體"/>
          <w:lang w:val="en-US" w:eastAsia="zh-TW"/>
        </w:rPr>
        <w:t>凌遲處死</w:t>
      </w:r>
      <w:r w:rsidRPr="00CB64A4">
        <w:rPr>
          <w:rFonts w:ascii="Times" w:eastAsia="細明體" w:hAnsi="Times" w:cs="宋体"/>
          <w:lang w:val="en-US" w:eastAsia="zh-CN"/>
        </w:rPr>
        <w:t>，</w:t>
      </w:r>
      <w:r w:rsidRPr="00CB64A4">
        <w:rPr>
          <w:rFonts w:ascii="Times" w:eastAsia="細明體" w:hAnsi="Times" w:cs="宋体"/>
          <w:lang w:val="en-US" w:eastAsia="zh-CN"/>
        </w:rPr>
        <w:t xml:space="preserve"> </w:t>
      </w:r>
      <w:r w:rsidRPr="00CB64A4">
        <w:rPr>
          <w:rFonts w:ascii="Times" w:eastAsia="細明體" w:hAnsi="Times"/>
          <w:lang w:val="en-US" w:eastAsia="zh-TW"/>
        </w:rPr>
        <w:t xml:space="preserve">while ordinary capital crimes were punished by decapitation </w:t>
      </w:r>
      <w:r w:rsidRPr="00CB64A4">
        <w:rPr>
          <w:rFonts w:ascii="Times" w:eastAsia="細明體" w:hAnsi="Times" w:cs="宋体"/>
          <w:lang w:val="en-US" w:eastAsia="zh-CN"/>
        </w:rPr>
        <w:t>斩性</w:t>
      </w:r>
      <w:r w:rsidRPr="00CB64A4">
        <w:rPr>
          <w:rFonts w:ascii="Times" w:eastAsia="細明體" w:hAnsi="Times"/>
          <w:lang w:val="en-US" w:eastAsia="zh-TW"/>
        </w:rPr>
        <w:t xml:space="preserve"> or strangulation </w:t>
      </w:r>
      <w:r w:rsidRPr="00CB64A4">
        <w:rPr>
          <w:rFonts w:ascii="Times" w:eastAsia="細明體" w:hAnsi="Times" w:cs="宋体"/>
          <w:lang w:val="en-US" w:eastAsia="zh-CN"/>
        </w:rPr>
        <w:t>绞刑</w:t>
      </w:r>
      <w:r w:rsidRPr="00CB64A4">
        <w:rPr>
          <w:rFonts w:ascii="Times" w:eastAsia="細明體" w:hAnsi="Times"/>
          <w:lang w:val="en-US" w:eastAsia="zh-TW"/>
        </w:rPr>
        <w:t xml:space="preserve">. Chinese jurisprudence went very far in discriminating how deeply a crime should be considered sinful enough to be categorized as one of the “ten evils.” For instance, the killing of three persons in a same family was labeled </w:t>
      </w:r>
      <w:r w:rsidRPr="00CB64A4">
        <w:rPr>
          <w:rFonts w:ascii="Times" w:eastAsia="細明體" w:hAnsi="Times"/>
          <w:i/>
          <w:lang w:val="en-US" w:eastAsia="zh-TW"/>
        </w:rPr>
        <w:t>budao</w:t>
      </w:r>
      <w:r w:rsidRPr="00CB64A4">
        <w:rPr>
          <w:rFonts w:ascii="Times" w:eastAsia="細明體" w:hAnsi="Times"/>
          <w:lang w:val="en-US" w:eastAsia="zh-TW"/>
        </w:rPr>
        <w:t xml:space="preserve"> </w:t>
      </w:r>
      <w:r w:rsidRPr="00CB64A4">
        <w:rPr>
          <w:rFonts w:ascii="Times" w:eastAsia="細明體" w:hAnsi="Times" w:cs="新細明體"/>
          <w:lang w:val="en-US" w:eastAsia="zh-TW"/>
        </w:rPr>
        <w:t>不道</w:t>
      </w:r>
      <w:r w:rsidRPr="00CB64A4">
        <w:rPr>
          <w:rFonts w:ascii="Times" w:eastAsia="細明體" w:hAnsi="Times"/>
          <w:i/>
          <w:lang w:val="en-US" w:eastAsia="zh-TW"/>
        </w:rPr>
        <w:t xml:space="preserve"> </w:t>
      </w:r>
      <w:r w:rsidRPr="00CB64A4">
        <w:rPr>
          <w:rFonts w:ascii="Times" w:eastAsia="細明體" w:hAnsi="Times"/>
          <w:lang w:val="en-US" w:eastAsia="zh-TW"/>
        </w:rPr>
        <w:t xml:space="preserve">, because it involved an attempt to exterminate this family. Interestingly enough, dismembering the corpse </w:t>
      </w:r>
      <w:r w:rsidRPr="00CB64A4">
        <w:rPr>
          <w:rFonts w:ascii="Times" w:eastAsia="細明體" w:hAnsi="Times" w:cs="新細明體"/>
          <w:lang w:val="en-US" w:eastAsia="zh-TW"/>
        </w:rPr>
        <w:t>支解</w:t>
      </w:r>
      <w:r w:rsidRPr="00CB64A4">
        <w:rPr>
          <w:rFonts w:ascii="Times" w:eastAsia="細明體" w:hAnsi="Times" w:cs="新細明體"/>
          <w:lang w:val="en-US" w:eastAsia="zh-TW"/>
        </w:rPr>
        <w:t xml:space="preserve"> </w:t>
      </w:r>
      <w:r w:rsidRPr="00CB64A4">
        <w:rPr>
          <w:rFonts w:ascii="Times" w:eastAsia="細明體" w:hAnsi="Times"/>
          <w:lang w:val="en-US" w:eastAsia="zh-TW"/>
        </w:rPr>
        <w:t xml:space="preserve">of one person was as serious a crime as killing three persons, since both crimes were punished by </w:t>
      </w:r>
      <w:r w:rsidRPr="00CB64A4">
        <w:rPr>
          <w:rFonts w:ascii="Times" w:eastAsia="細明體" w:hAnsi="Times"/>
          <w:i/>
          <w:lang w:val="en-US" w:eastAsia="zh-TW"/>
        </w:rPr>
        <w:t>lingchi</w:t>
      </w:r>
      <w:r w:rsidRPr="00CB64A4">
        <w:rPr>
          <w:rFonts w:ascii="Times" w:eastAsia="細明體" w:hAnsi="Times" w:cs="宋体"/>
          <w:lang w:val="en-US" w:eastAsia="zh-CN"/>
        </w:rPr>
        <w:t xml:space="preserve"> </w:t>
      </w:r>
      <w:r w:rsidRPr="00CB64A4">
        <w:rPr>
          <w:rFonts w:ascii="Times" w:eastAsia="細明體" w:hAnsi="Times" w:cs="新細明體"/>
          <w:lang w:val="en-US" w:eastAsia="zh-TW"/>
        </w:rPr>
        <w:t>凌遲處死</w:t>
      </w:r>
      <w:r w:rsidRPr="00CB64A4">
        <w:rPr>
          <w:rFonts w:ascii="Times" w:eastAsia="細明體" w:hAnsi="Times"/>
          <w:lang w:val="en-US" w:eastAsia="zh-TW"/>
        </w:rPr>
        <w:t xml:space="preserve">. However, if among the three persons killed, some were themselves guilty of a capital crime, and their killing thus comparable to a revenge, then the deed was not ranged under the “impiety” </w:t>
      </w:r>
      <w:r w:rsidRPr="00CB64A4">
        <w:rPr>
          <w:rFonts w:ascii="Times" w:eastAsia="細明體" w:hAnsi="Times"/>
          <w:i/>
          <w:lang w:val="en-US" w:eastAsia="zh-TW"/>
        </w:rPr>
        <w:t xml:space="preserve">budao </w:t>
      </w:r>
      <w:r w:rsidRPr="00CB64A4">
        <w:rPr>
          <w:rFonts w:ascii="Times" w:eastAsia="細明體" w:hAnsi="Times"/>
          <w:lang w:val="en-US" w:eastAsia="zh-TW"/>
        </w:rPr>
        <w:t xml:space="preserve">category, and the punishment was decapitation </w:t>
      </w:r>
      <w:r w:rsidRPr="00CB64A4">
        <w:rPr>
          <w:rFonts w:ascii="Times" w:eastAsia="細明體" w:hAnsi="Times" w:cs="新細明體"/>
          <w:lang w:val="en-US" w:eastAsia="zh-TW"/>
        </w:rPr>
        <w:t>斬</w:t>
      </w:r>
      <w:r w:rsidRPr="00CB64A4">
        <w:rPr>
          <w:rFonts w:ascii="Times" w:eastAsia="細明體" w:hAnsi="Times"/>
          <w:lang w:val="en-US" w:eastAsia="zh-TW"/>
        </w:rPr>
        <w:t xml:space="preserve">, not </w:t>
      </w:r>
      <w:r w:rsidRPr="00CB64A4">
        <w:rPr>
          <w:rFonts w:ascii="Times" w:eastAsia="細明體" w:hAnsi="Times"/>
          <w:i/>
          <w:lang w:val="en-US" w:eastAsia="zh-TW"/>
        </w:rPr>
        <w:t>lingchi</w:t>
      </w:r>
      <w:r w:rsidRPr="00CB64A4">
        <w:rPr>
          <w:rFonts w:ascii="Times" w:eastAsia="細明體" w:hAnsi="Times"/>
          <w:lang w:val="en-US" w:eastAsia="zh-TW"/>
        </w:rPr>
        <w:t xml:space="preserve">—which meant that this kind of revenge was a capital crime, certainly, but not infected enough by sin to fall under one of the “ten evils”. Similarly, Chinese judges went very far in determining whether the aforementioned crime of “dismembering” </w:t>
      </w:r>
      <w:r w:rsidRPr="00CB64A4">
        <w:rPr>
          <w:rFonts w:ascii="Times" w:eastAsia="細明體" w:hAnsi="Times" w:cs="新細明體"/>
          <w:lang w:val="en-US" w:eastAsia="zh-TW"/>
        </w:rPr>
        <w:t>支解</w:t>
      </w:r>
      <w:r w:rsidRPr="00CB64A4">
        <w:rPr>
          <w:rFonts w:ascii="Times" w:eastAsia="細明體" w:hAnsi="Times" w:cs="新細明體"/>
          <w:lang w:val="en-US" w:eastAsia="zh-TW"/>
        </w:rPr>
        <w:t xml:space="preserve"> had been </w:t>
      </w:r>
      <w:r w:rsidRPr="00CB64A4">
        <w:rPr>
          <w:rFonts w:ascii="Times" w:eastAsia="細明體" w:hAnsi="Times"/>
          <w:lang w:val="en-US" w:eastAsia="zh-TW"/>
        </w:rPr>
        <w:t xml:space="preserve"> </w:t>
      </w:r>
      <w:r w:rsidR="006C5673">
        <w:rPr>
          <w:rFonts w:ascii="Times" w:eastAsia="細明體" w:hAnsi="Times" w:cs="新細明體"/>
          <w:lang w:val="en-US" w:eastAsia="zh-TW"/>
        </w:rPr>
        <w:t>committed with a sinful i</w:t>
      </w:r>
      <w:r w:rsidRPr="00CB64A4">
        <w:rPr>
          <w:rFonts w:ascii="Times" w:eastAsia="細明體" w:hAnsi="Times" w:cs="新細明體"/>
          <w:lang w:val="en-US" w:eastAsia="zh-TW"/>
        </w:rPr>
        <w:t>ntent</w:t>
      </w:r>
      <w:r w:rsidRPr="00CB64A4">
        <w:rPr>
          <w:rFonts w:ascii="Times" w:eastAsia="細明體" w:hAnsi="Times"/>
          <w:lang w:val="en-US" w:eastAsia="zh-TW"/>
        </w:rPr>
        <w:t xml:space="preserve"> of desecrating a human body, for instance by harassing sexual parties;  or if the cutting in pieces was motivated by an attempt to escape the law by concealing the corpse, or impeding its identification, which revealed no “evil intent” </w:t>
      </w:r>
      <w:r w:rsidRPr="00CB64A4">
        <w:rPr>
          <w:rFonts w:ascii="Times" w:eastAsia="細明體" w:hAnsi="Times" w:cs="新細明體"/>
          <w:lang w:val="en-US" w:eastAsia="zh-TW"/>
        </w:rPr>
        <w:t>惡意</w:t>
      </w:r>
      <w:r w:rsidRPr="00CB64A4">
        <w:rPr>
          <w:rFonts w:ascii="Times" w:eastAsia="細明體" w:hAnsi="Times" w:cs="新細明體"/>
          <w:lang w:val="en-US" w:eastAsia="zh-TW"/>
        </w:rPr>
        <w:t>. In the first case, the same act of dismembering a corpse was</w:t>
      </w:r>
      <w:r w:rsidRPr="00CB64A4">
        <w:rPr>
          <w:rFonts w:ascii="Times" w:eastAsia="細明體" w:hAnsi="Times"/>
          <w:lang w:val="en-US" w:eastAsia="zh-TW"/>
        </w:rPr>
        <w:t xml:space="preserve"> </w:t>
      </w:r>
      <w:r w:rsidRPr="00CB64A4">
        <w:rPr>
          <w:rFonts w:ascii="Times" w:eastAsia="細明體" w:hAnsi="Times"/>
          <w:i/>
          <w:lang w:val="en-US" w:eastAsia="zh-TW"/>
        </w:rPr>
        <w:t>budao</w:t>
      </w:r>
      <w:r w:rsidRPr="00CB64A4">
        <w:rPr>
          <w:rFonts w:ascii="Times" w:eastAsia="細明體" w:hAnsi="Times"/>
          <w:lang w:val="en-US" w:eastAsia="zh-TW"/>
        </w:rPr>
        <w:t xml:space="preserve">, punished by </w:t>
      </w:r>
      <w:r w:rsidRPr="00CB64A4">
        <w:rPr>
          <w:rFonts w:ascii="Times" w:eastAsia="細明體" w:hAnsi="Times"/>
          <w:i/>
          <w:lang w:val="en-US" w:eastAsia="zh-TW"/>
        </w:rPr>
        <w:t>lingchi</w:t>
      </w:r>
      <w:r w:rsidRPr="00CB64A4">
        <w:rPr>
          <w:rFonts w:ascii="Times" w:eastAsia="細明體" w:hAnsi="Times"/>
          <w:lang w:val="en-US" w:eastAsia="zh-TW"/>
        </w:rPr>
        <w:t>, in the second case, it was just a capital crime of a common kind, punished by decapitation.</w:t>
      </w:r>
      <w:r w:rsidRPr="00CB64A4">
        <w:rPr>
          <w:rStyle w:val="Marquenotebasdepage"/>
          <w:rFonts w:ascii="Times" w:eastAsia="細明體" w:hAnsi="Times"/>
          <w:lang w:val="en-US" w:eastAsia="zh-TW"/>
        </w:rPr>
        <w:footnoteReference w:id="7"/>
      </w:r>
      <w:r w:rsidRPr="00CB64A4">
        <w:rPr>
          <w:rFonts w:ascii="Times" w:eastAsia="細明體" w:hAnsi="Times"/>
          <w:lang w:val="en-US" w:eastAsia="zh-TW"/>
        </w:rPr>
        <w:t xml:space="preserve"> However strange and questionable such decisions may be, they show a consistent intent to discriminate crime from sin with the greatest precision. Thus, the interaction between divine and human justice was by no means a complete confusion.</w:t>
      </w:r>
    </w:p>
    <w:p w14:paraId="49F2F032" w14:textId="77777777" w:rsidR="0009517D" w:rsidRPr="00CB64A4" w:rsidRDefault="0009517D" w:rsidP="0009517D">
      <w:pPr>
        <w:spacing w:line="360" w:lineRule="auto"/>
        <w:jc w:val="both"/>
        <w:rPr>
          <w:rFonts w:ascii="Times" w:eastAsia="細明體" w:hAnsi="Times"/>
          <w:lang w:val="en-US" w:eastAsia="zh-TW"/>
        </w:rPr>
      </w:pPr>
      <w:r w:rsidRPr="00CB64A4">
        <w:rPr>
          <w:rFonts w:ascii="Times" w:eastAsia="細明體" w:hAnsi="Times"/>
          <w:lang w:val="en-US" w:eastAsia="zh-TW"/>
        </w:rPr>
        <w:tab/>
        <w:t>The striking similarities between, on the one hand, the conception of the afterlife and the salvation process at stake therein, and, on the other hand, the legal codification of crimes and punishments, was certainly not accidental. We intuitively perceive strong structural forces at work in the legal and religious realms, but in the current state of our knowledge, their interrelation is hard to qualify. To start with, if influences seem hard to deny, which direction was the main stream? Should we speak of religious influences on the framing of the penal code or, at the opposite, of a submission of the Netherworld to the law and jurisprudence of this world? Both can be true, alternatively, as shows the example of the “ten evils”, which soaked the penal code with notions of impurity and sin of Buddhist origin, but which, reciprocally, evince a strong influence of the penal codification on the karmic process of salvation. Meanwhile, the historical process that set these subtle interconnections between legal and supernatural punishments remains a matter for further studies, and fruitful exchange, hopefully, between historians of law and religions.</w:t>
      </w:r>
    </w:p>
    <w:p w14:paraId="07F594AB" w14:textId="77777777" w:rsidR="0009517D" w:rsidRPr="00CB64A4" w:rsidRDefault="0009517D">
      <w:pPr>
        <w:rPr>
          <w:lang w:val="en-US"/>
        </w:rPr>
      </w:pPr>
    </w:p>
    <w:sectPr w:rsidR="0009517D" w:rsidRPr="00CB64A4" w:rsidSect="00F51621">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898E6" w14:textId="77777777" w:rsidR="0009517D" w:rsidRDefault="0009517D" w:rsidP="0009517D">
      <w:r>
        <w:separator/>
      </w:r>
    </w:p>
  </w:endnote>
  <w:endnote w:type="continuationSeparator" w:id="0">
    <w:p w14:paraId="0A277B3C" w14:textId="77777777" w:rsidR="0009517D" w:rsidRDefault="0009517D" w:rsidP="0009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細明體">
    <w:charset w:val="51"/>
    <w:family w:val="auto"/>
    <w:pitch w:val="variable"/>
    <w:sig w:usb0="A00002FF" w:usb1="28CFFCFA" w:usb2="00000016" w:usb3="00000000" w:csb0="00100001" w:csb1="00000000"/>
  </w:font>
  <w:font w:name="新細明體">
    <w:charset w:val="51"/>
    <w:family w:val="auto"/>
    <w:pitch w:val="variable"/>
    <w:sig w:usb0="00000001" w:usb1="08080000" w:usb2="00000010" w:usb3="00000000" w:csb0="00100000" w:csb1="00000000"/>
  </w:font>
  <w:font w:name="メイリオ">
    <w:charset w:val="4E"/>
    <w:family w:val="auto"/>
    <w:pitch w:val="variable"/>
    <w:sig w:usb0="E10102FF" w:usb1="EAC7FFFF" w:usb2="00010012" w:usb3="00000000" w:csb0="000200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52A2D" w14:textId="77777777" w:rsidR="0009517D" w:rsidRDefault="0009517D" w:rsidP="0009517D">
      <w:r>
        <w:separator/>
      </w:r>
    </w:p>
  </w:footnote>
  <w:footnote w:type="continuationSeparator" w:id="0">
    <w:p w14:paraId="226D9E0A" w14:textId="77777777" w:rsidR="0009517D" w:rsidRDefault="0009517D" w:rsidP="0009517D">
      <w:r>
        <w:continuationSeparator/>
      </w:r>
    </w:p>
  </w:footnote>
  <w:footnote w:id="1">
    <w:p w14:paraId="1F0E2222" w14:textId="77777777" w:rsidR="0009517D" w:rsidRPr="00BA2E6D" w:rsidRDefault="0009517D" w:rsidP="0009517D">
      <w:pPr>
        <w:pStyle w:val="Notedebasdepage"/>
        <w:rPr>
          <w:rFonts w:ascii="Times" w:eastAsia="細明體" w:hAnsi="Times"/>
        </w:rPr>
      </w:pPr>
      <w:r w:rsidRPr="00BA2E6D">
        <w:rPr>
          <w:rStyle w:val="Marquenotebasdepage"/>
          <w:rFonts w:ascii="Times" w:eastAsia="細明體" w:hAnsi="Times"/>
        </w:rPr>
        <w:footnoteRef/>
      </w:r>
      <w:r w:rsidRPr="00BA2E6D">
        <w:rPr>
          <w:rFonts w:ascii="Times" w:eastAsia="細明體" w:hAnsi="Times"/>
        </w:rPr>
        <w:t xml:space="preserve"> See, among many authors, Jean Escarra, </w:t>
      </w:r>
      <w:r w:rsidRPr="00BA2E6D">
        <w:rPr>
          <w:rFonts w:ascii="Times" w:eastAsia="細明體" w:hAnsi="Times"/>
          <w:i/>
        </w:rPr>
        <w:t>Le droit chinois </w:t>
      </w:r>
      <w:r w:rsidRPr="00BA2E6D">
        <w:rPr>
          <w:rFonts w:ascii="Times" w:eastAsia="細明體" w:hAnsi="Times"/>
        </w:rPr>
        <w:t xml:space="preserve">; Marcel Granet, </w:t>
      </w:r>
      <w:r w:rsidRPr="00BA2E6D">
        <w:rPr>
          <w:rFonts w:ascii="Times" w:eastAsia="細明體" w:hAnsi="Times"/>
          <w:i/>
        </w:rPr>
        <w:t>La pensée chinoise</w:t>
      </w:r>
      <w:r w:rsidRPr="00BA2E6D">
        <w:rPr>
          <w:rFonts w:ascii="Times" w:eastAsia="細明體" w:hAnsi="Times"/>
        </w:rPr>
        <w:t xml:space="preserve">, D. Bodde and C. Morris, </w:t>
      </w:r>
      <w:r w:rsidRPr="00BA2E6D">
        <w:rPr>
          <w:rFonts w:ascii="Times" w:eastAsia="細明體" w:hAnsi="Times"/>
          <w:i/>
        </w:rPr>
        <w:t xml:space="preserve">Law in Imperial China. </w:t>
      </w:r>
      <w:r w:rsidRPr="00BA2E6D">
        <w:rPr>
          <w:rFonts w:ascii="Times" w:eastAsia="細明體" w:hAnsi="Times"/>
        </w:rPr>
        <w:t>The “Chinese-law-as-restoration-of-the-cosmic-order”  misinterpretation has been wittily refuted by Hsu Tau-lin 1970.</w:t>
      </w:r>
    </w:p>
  </w:footnote>
  <w:footnote w:id="2">
    <w:p w14:paraId="7C4038B5" w14:textId="77777777" w:rsidR="0009517D" w:rsidRPr="00BA2E6D" w:rsidRDefault="0009517D" w:rsidP="0009517D">
      <w:pPr>
        <w:pStyle w:val="Notedebasdepage"/>
        <w:rPr>
          <w:rFonts w:ascii="Times" w:eastAsia="細明體" w:hAnsi="Times"/>
        </w:rPr>
      </w:pPr>
      <w:r w:rsidRPr="00BA2E6D">
        <w:rPr>
          <w:rStyle w:val="Marquenotebasdepage"/>
          <w:rFonts w:ascii="Times" w:eastAsia="細明體" w:hAnsi="Times"/>
        </w:rPr>
        <w:footnoteRef/>
      </w:r>
      <w:r w:rsidRPr="00BA2E6D">
        <w:rPr>
          <w:rFonts w:ascii="Times" w:eastAsia="細明體" w:hAnsi="Times"/>
        </w:rPr>
        <w:t xml:space="preserve"> The “ten evils” in the Buddhist “Scripture of the Ten Kings” are: 1. Killing, 2. Stealing, 3. Adultery, 4. Lying, 5. Uttering harsh words, 6. Causing enmity between others, 7. Engaging in idle talk, 8. Greed, 9. Anger, 10. Perverted views.  This list must be completed with the “Five abominations” </w:t>
      </w:r>
      <w:r w:rsidRPr="00BA2E6D">
        <w:rPr>
          <w:rFonts w:ascii="Times" w:eastAsia="細明體" w:hAnsi="Times" w:cs="新細明體"/>
          <w:lang w:eastAsia="zh-TW"/>
        </w:rPr>
        <w:t>五逆</w:t>
      </w:r>
      <w:r w:rsidRPr="00BA2E6D">
        <w:rPr>
          <w:rFonts w:ascii="Times" w:eastAsia="細明體" w:hAnsi="Times" w:cs="新細明體"/>
          <w:lang w:eastAsia="zh-TW"/>
        </w:rPr>
        <w:t xml:space="preserve"> : 1. Killing one’s mother, 2. Killing one’s father, 3. Killing an </w:t>
      </w:r>
      <w:r w:rsidRPr="00BA2E6D">
        <w:rPr>
          <w:rFonts w:ascii="Times" w:eastAsia="細明體" w:hAnsi="Times" w:cs="新細明體"/>
          <w:i/>
          <w:lang w:eastAsia="zh-TW"/>
        </w:rPr>
        <w:t>arhat</w:t>
      </w:r>
      <w:r w:rsidRPr="00BA2E6D">
        <w:rPr>
          <w:rFonts w:ascii="Times" w:eastAsia="細明體" w:hAnsi="Times" w:cs="新細明體"/>
          <w:lang w:eastAsia="zh-TW"/>
        </w:rPr>
        <w:t xml:space="preserve">, 4. Maliciously shedding the blood of a Buddha, 5. Disrupting the Samgha </w:t>
      </w:r>
      <w:r w:rsidRPr="00BA2E6D">
        <w:rPr>
          <w:rFonts w:ascii="Times" w:eastAsia="細明體" w:hAnsi="Times" w:cs="メイリオ"/>
        </w:rPr>
        <w:t>僧伽制度</w:t>
      </w:r>
      <w:r w:rsidRPr="00BA2E6D">
        <w:rPr>
          <w:rFonts w:ascii="Times" w:eastAsia="細明體" w:hAnsi="Times" w:cs="新細明體"/>
          <w:lang w:eastAsia="zh-TW"/>
        </w:rPr>
        <w:t xml:space="preserve">. </w:t>
      </w:r>
      <w:r w:rsidRPr="00BA2E6D">
        <w:rPr>
          <w:rFonts w:ascii="Times" w:eastAsia="細明體" w:hAnsi="Times"/>
        </w:rPr>
        <w:t>Correspondences can easily be found with the “ten evils” as defined in the penal codes, see below and note 31.</w:t>
      </w:r>
    </w:p>
  </w:footnote>
  <w:footnote w:id="3">
    <w:p w14:paraId="46CC6719" w14:textId="77777777" w:rsidR="0009517D" w:rsidRPr="00BA2E6D" w:rsidRDefault="0009517D" w:rsidP="0009517D">
      <w:pPr>
        <w:pStyle w:val="Notedebasdepage"/>
        <w:rPr>
          <w:rFonts w:ascii="Times" w:eastAsia="細明體" w:hAnsi="Times"/>
        </w:rPr>
      </w:pPr>
      <w:r w:rsidRPr="00BA2E6D">
        <w:rPr>
          <w:rStyle w:val="Marquenotebasdepage"/>
          <w:rFonts w:ascii="Times" w:eastAsia="細明體" w:hAnsi="Times"/>
        </w:rPr>
        <w:footnoteRef/>
      </w:r>
      <w:r w:rsidRPr="00BA2E6D">
        <w:rPr>
          <w:rFonts w:ascii="Times" w:eastAsia="細明體" w:hAnsi="Times"/>
        </w:rPr>
        <w:t xml:space="preserve"> These rules are enumerated in the first section of the Vinaya pitaka, or regulation for monastic discipline originated in Sakyamuni ad hoc rulings. The Buddha uttered only four Parajika, the Hinayana tradition had eight Parajika, and the Mahayana practiced in China had ten. See Soothill &amp; Hodous 1937 , “</w:t>
      </w:r>
      <w:r w:rsidRPr="00BA2E6D">
        <w:rPr>
          <w:rFonts w:ascii="Times" w:eastAsia="細明體" w:hAnsi="Times"/>
          <w:lang w:eastAsia="zh-TW"/>
        </w:rPr>
        <w:t xml:space="preserve">Parajika </w:t>
      </w:r>
      <w:r w:rsidRPr="00BA2E6D">
        <w:rPr>
          <w:rFonts w:ascii="Times" w:eastAsia="細明體" w:hAnsi="Times" w:cs="新細明體"/>
          <w:lang w:eastAsia="zh-TW"/>
        </w:rPr>
        <w:t>波羅夷</w:t>
      </w:r>
      <w:r w:rsidRPr="00BA2E6D">
        <w:rPr>
          <w:rFonts w:ascii="Times" w:eastAsia="細明體" w:hAnsi="Times" w:cs="新細明體"/>
          <w:lang w:eastAsia="zh-TW"/>
        </w:rPr>
        <w:t>”.</w:t>
      </w:r>
    </w:p>
  </w:footnote>
  <w:footnote w:id="4">
    <w:p w14:paraId="2A9C00ED" w14:textId="77777777" w:rsidR="0009517D" w:rsidRPr="00BA2E6D" w:rsidRDefault="0009517D" w:rsidP="0009517D">
      <w:pPr>
        <w:pStyle w:val="Notedebasdepage"/>
        <w:rPr>
          <w:rFonts w:ascii="Times" w:eastAsia="細明體" w:hAnsi="Times"/>
        </w:rPr>
      </w:pPr>
      <w:r w:rsidRPr="00BA2E6D">
        <w:rPr>
          <w:rStyle w:val="Marquenotebasdepage"/>
          <w:rFonts w:ascii="Times" w:eastAsia="細明體" w:hAnsi="Times"/>
        </w:rPr>
        <w:footnoteRef/>
      </w:r>
      <w:r w:rsidRPr="00BA2E6D">
        <w:rPr>
          <w:rFonts w:ascii="Times" w:eastAsia="細明體" w:hAnsi="Times"/>
        </w:rPr>
        <w:t xml:space="preserve"> Teiser 1994, p. 216 and p. 103 n. 4.</w:t>
      </w:r>
    </w:p>
  </w:footnote>
  <w:footnote w:id="5">
    <w:p w14:paraId="3DDC4B94" w14:textId="77777777" w:rsidR="0009517D" w:rsidRPr="00BA2E6D" w:rsidRDefault="0009517D" w:rsidP="0009517D">
      <w:pPr>
        <w:pStyle w:val="Notedebasdepage"/>
        <w:rPr>
          <w:rFonts w:ascii="Times" w:eastAsia="細明體" w:hAnsi="Times" w:cs="新細明體"/>
          <w:lang w:eastAsia="zh-TW"/>
        </w:rPr>
      </w:pPr>
      <w:r w:rsidRPr="00BA2E6D">
        <w:rPr>
          <w:rStyle w:val="Marquenotebasdepage"/>
          <w:rFonts w:ascii="Times" w:eastAsia="細明體" w:hAnsi="Times"/>
        </w:rPr>
        <w:footnoteRef/>
      </w:r>
      <w:r w:rsidRPr="00BA2E6D">
        <w:rPr>
          <w:rFonts w:ascii="Times" w:eastAsia="細明體" w:hAnsi="Times"/>
        </w:rPr>
        <w:t xml:space="preserve"> Official commentary </w:t>
      </w:r>
      <w:r w:rsidRPr="00BA2E6D">
        <w:rPr>
          <w:rFonts w:ascii="Times" w:eastAsia="細明體" w:hAnsi="Times" w:cs="新細明體"/>
          <w:lang w:eastAsia="zh-TW"/>
        </w:rPr>
        <w:t>總註</w:t>
      </w:r>
      <w:r w:rsidRPr="00BA2E6D">
        <w:rPr>
          <w:rFonts w:ascii="Times" w:eastAsia="細明體" w:hAnsi="Times" w:cs="新細明體"/>
          <w:lang w:eastAsia="zh-TW"/>
        </w:rPr>
        <w:t xml:space="preserve"> of the art. n° 2 in </w:t>
      </w:r>
      <w:r w:rsidRPr="00BA2E6D">
        <w:rPr>
          <w:rFonts w:ascii="Times" w:eastAsia="細明體" w:hAnsi="Times" w:cs="新細明體"/>
          <w:i/>
          <w:lang w:eastAsia="zh-TW"/>
        </w:rPr>
        <w:t>Da Qing lüli</w:t>
      </w:r>
      <w:r w:rsidRPr="00BA2E6D">
        <w:rPr>
          <w:rFonts w:ascii="Times" w:eastAsia="細明體" w:hAnsi="Times" w:cs="新細明體"/>
          <w:lang w:eastAsia="zh-TW"/>
        </w:rPr>
        <w:t xml:space="preserve">, cf. </w:t>
      </w:r>
      <w:r w:rsidRPr="00BA2E6D">
        <w:rPr>
          <w:rFonts w:ascii="Times" w:eastAsia="細明體" w:hAnsi="Times" w:cs="新細明體"/>
          <w:i/>
          <w:lang w:eastAsia="zh-TW"/>
        </w:rPr>
        <w:t>Duli cunyi</w:t>
      </w:r>
      <w:r w:rsidRPr="00BA2E6D">
        <w:rPr>
          <w:rFonts w:ascii="Times" w:eastAsia="細明體" w:hAnsi="Times" w:cs="新細明體"/>
          <w:lang w:eastAsia="zh-TW"/>
        </w:rPr>
        <w:t xml:space="preserve"> vol. 2, p. 16.</w:t>
      </w:r>
    </w:p>
  </w:footnote>
  <w:footnote w:id="6">
    <w:p w14:paraId="474C518B" w14:textId="77777777" w:rsidR="0009517D" w:rsidRPr="00BA2E6D" w:rsidRDefault="0009517D" w:rsidP="0009517D">
      <w:pPr>
        <w:pStyle w:val="Notedebasdepage"/>
        <w:rPr>
          <w:rFonts w:ascii="Times" w:eastAsia="細明體" w:hAnsi="Times" w:cs="新細明體"/>
          <w:lang w:eastAsia="zh-TW"/>
        </w:rPr>
      </w:pPr>
      <w:r w:rsidRPr="00BA2E6D">
        <w:rPr>
          <w:rStyle w:val="Marquenotebasdepage"/>
          <w:rFonts w:ascii="Times" w:eastAsia="細明體" w:hAnsi="Times"/>
        </w:rPr>
        <w:footnoteRef/>
      </w:r>
      <w:r w:rsidRPr="00BA2E6D">
        <w:rPr>
          <w:rFonts w:ascii="Times" w:eastAsia="細明體" w:hAnsi="Times"/>
        </w:rPr>
        <w:t xml:space="preserve"> The “Ten evils” as defined in the Chinese penal codes since the Tang dynasty are: 1. Plotting for revolt </w:t>
      </w:r>
      <w:r w:rsidRPr="00BA2E6D">
        <w:rPr>
          <w:rFonts w:ascii="Times" w:eastAsia="細明體" w:hAnsi="Times" w:cs="新細明體"/>
          <w:lang w:eastAsia="zh-TW"/>
        </w:rPr>
        <w:t>謀反</w:t>
      </w:r>
      <w:r w:rsidRPr="00BA2E6D">
        <w:rPr>
          <w:rFonts w:ascii="Times" w:eastAsia="細明體" w:hAnsi="Times"/>
        </w:rPr>
        <w:t xml:space="preserve">, 2. Great rebellion </w:t>
      </w:r>
      <w:r w:rsidRPr="00BA2E6D">
        <w:rPr>
          <w:rFonts w:ascii="Times" w:eastAsia="細明體" w:hAnsi="Times" w:cs="新細明體"/>
          <w:lang w:eastAsia="zh-TW"/>
        </w:rPr>
        <w:t>大逆</w:t>
      </w:r>
      <w:r w:rsidRPr="00BA2E6D">
        <w:rPr>
          <w:rFonts w:ascii="Times" w:eastAsia="細明體" w:hAnsi="Times"/>
        </w:rPr>
        <w:t xml:space="preserve">, 3. Plotting high treason </w:t>
      </w:r>
      <w:r w:rsidRPr="00BA2E6D">
        <w:rPr>
          <w:rFonts w:ascii="Times" w:eastAsia="細明體" w:hAnsi="Times" w:cs="新細明體"/>
          <w:lang w:eastAsia="zh-TW"/>
        </w:rPr>
        <w:t>謀叛</w:t>
      </w:r>
      <w:r w:rsidRPr="00BA2E6D">
        <w:rPr>
          <w:rFonts w:ascii="Times" w:eastAsia="細明體" w:hAnsi="Times"/>
        </w:rPr>
        <w:t xml:space="preserve">, 4. Vicious rebellion </w:t>
      </w:r>
      <w:r w:rsidRPr="00BA2E6D">
        <w:rPr>
          <w:rFonts w:ascii="Times" w:eastAsia="細明體" w:hAnsi="Times" w:cs="新細明體"/>
          <w:lang w:eastAsia="zh-TW"/>
        </w:rPr>
        <w:t>惡逆</w:t>
      </w:r>
      <w:r w:rsidRPr="00BA2E6D">
        <w:rPr>
          <w:rFonts w:ascii="Times" w:eastAsia="細明體" w:hAnsi="Times"/>
        </w:rPr>
        <w:t xml:space="preserve">(striking or killing one’s parents), 5. Impiety </w:t>
      </w:r>
      <w:r w:rsidRPr="00BA2E6D">
        <w:rPr>
          <w:rFonts w:ascii="Times" w:eastAsia="細明體" w:hAnsi="Times" w:cs="新細明體"/>
          <w:lang w:eastAsia="zh-TW"/>
        </w:rPr>
        <w:t>不道</w:t>
      </w:r>
      <w:r w:rsidRPr="00BA2E6D">
        <w:rPr>
          <w:rFonts w:ascii="Times" w:eastAsia="細明體" w:hAnsi="Times"/>
        </w:rPr>
        <w:t xml:space="preserve">; 6. Great irreverence </w:t>
      </w:r>
      <w:r w:rsidRPr="00BA2E6D">
        <w:rPr>
          <w:rFonts w:ascii="Times" w:eastAsia="細明體" w:hAnsi="Times" w:cs="新細明體"/>
          <w:lang w:eastAsia="zh-TW"/>
        </w:rPr>
        <w:t>大不敬</w:t>
      </w:r>
      <w:r w:rsidRPr="00BA2E6D">
        <w:rPr>
          <w:rFonts w:ascii="Times" w:eastAsia="細明體" w:hAnsi="Times"/>
        </w:rPr>
        <w:t xml:space="preserve">; 7. Unfiliality </w:t>
      </w:r>
      <w:r w:rsidRPr="00BA2E6D">
        <w:rPr>
          <w:rFonts w:ascii="Times" w:eastAsia="細明體" w:hAnsi="Times" w:cs="新細明體"/>
          <w:lang w:eastAsia="zh-TW"/>
        </w:rPr>
        <w:t>不孝</w:t>
      </w:r>
      <w:r w:rsidRPr="00BA2E6D">
        <w:rPr>
          <w:rFonts w:ascii="Times" w:eastAsia="細明體" w:hAnsi="Times"/>
        </w:rPr>
        <w:t xml:space="preserve">, 8.  Unkindness </w:t>
      </w:r>
      <w:r w:rsidRPr="00BA2E6D">
        <w:rPr>
          <w:rFonts w:ascii="Times" w:eastAsia="細明體" w:hAnsi="Times" w:cs="新細明體"/>
          <w:lang w:eastAsia="zh-TW"/>
        </w:rPr>
        <w:t>不睦</w:t>
      </w:r>
      <w:r w:rsidRPr="00BA2E6D">
        <w:rPr>
          <w:rFonts w:ascii="Times" w:eastAsia="細明體" w:hAnsi="Times"/>
        </w:rPr>
        <w:t xml:space="preserve">, 9. Unrighteousness </w:t>
      </w:r>
      <w:r w:rsidRPr="00BA2E6D">
        <w:rPr>
          <w:rFonts w:ascii="Times" w:eastAsia="細明體" w:hAnsi="Times" w:cs="新細明體"/>
          <w:lang w:eastAsia="zh-TW"/>
        </w:rPr>
        <w:t>不義</w:t>
      </w:r>
      <w:r w:rsidRPr="00BA2E6D">
        <w:rPr>
          <w:rFonts w:ascii="Times" w:eastAsia="細明體" w:hAnsi="Times"/>
        </w:rPr>
        <w:t xml:space="preserve">, 10. Inner disorder </w:t>
      </w:r>
      <w:r w:rsidRPr="00BA2E6D">
        <w:rPr>
          <w:rFonts w:ascii="Times" w:eastAsia="細明體" w:hAnsi="Times" w:cs="新細明體"/>
          <w:lang w:eastAsia="zh-TW"/>
        </w:rPr>
        <w:t>內亂</w:t>
      </w:r>
      <w:r w:rsidRPr="00BA2E6D">
        <w:rPr>
          <w:rFonts w:ascii="Times" w:eastAsia="細明體" w:hAnsi="Times" w:cs="新細明體"/>
          <w:lang w:eastAsia="zh-TW"/>
        </w:rPr>
        <w:t xml:space="preserve"> </w:t>
      </w:r>
      <w:r w:rsidRPr="00BA2E6D">
        <w:rPr>
          <w:rFonts w:ascii="Times" w:eastAsia="細明體" w:hAnsi="Times"/>
        </w:rPr>
        <w:t xml:space="preserve">(incest). </w:t>
      </w:r>
    </w:p>
  </w:footnote>
  <w:footnote w:id="7">
    <w:p w14:paraId="55E12719" w14:textId="77777777" w:rsidR="0009517D" w:rsidRPr="00BA2E6D" w:rsidRDefault="0009517D" w:rsidP="0009517D">
      <w:pPr>
        <w:pStyle w:val="Notedebasdepage"/>
        <w:rPr>
          <w:rFonts w:ascii="Times" w:eastAsia="細明體" w:hAnsi="Times"/>
        </w:rPr>
      </w:pPr>
      <w:r w:rsidRPr="00BA2E6D">
        <w:rPr>
          <w:rStyle w:val="Marquenotebasdepage"/>
          <w:rFonts w:ascii="Times" w:eastAsia="細明體" w:hAnsi="Times"/>
        </w:rPr>
        <w:footnoteRef/>
      </w:r>
      <w:r w:rsidRPr="00BA2E6D">
        <w:rPr>
          <w:rFonts w:ascii="Times" w:eastAsia="細明體" w:hAnsi="Times"/>
        </w:rPr>
        <w:t xml:space="preserve"> </w:t>
      </w:r>
      <w:r w:rsidRPr="00BA2E6D">
        <w:rPr>
          <w:rFonts w:ascii="Times" w:eastAsia="細明體" w:hAnsi="Times"/>
          <w:i/>
        </w:rPr>
        <w:t>Xing’an huilan</w:t>
      </w:r>
      <w:r w:rsidRPr="00BA2E6D">
        <w:rPr>
          <w:rFonts w:ascii="Times" w:eastAsia="細明體" w:hAnsi="Times"/>
        </w:rPr>
        <w:t xml:space="preserve">, one case included under the heading </w:t>
      </w:r>
      <w:r w:rsidRPr="00BA2E6D">
        <w:rPr>
          <w:rFonts w:ascii="Times" w:eastAsia="細明體" w:hAnsi="Times"/>
          <w:i/>
        </w:rPr>
        <w:t xml:space="preserve">sha yijia feisizui san ren ji zhijie </w:t>
      </w:r>
      <w:r w:rsidRPr="00BA2E6D">
        <w:rPr>
          <w:rFonts w:ascii="Times" w:eastAsia="細明體" w:hAnsi="Times"/>
          <w:lang w:eastAsia="zh-TW"/>
        </w:rPr>
        <w:t>殺一家非死罪三人及支解人</w:t>
      </w:r>
      <w:r w:rsidRPr="00BA2E6D">
        <w:rPr>
          <w:rFonts w:ascii="Times" w:eastAsia="細明體" w:hAnsi="Times"/>
          <w:lang w:eastAsia="zh-TW"/>
        </w:rPr>
        <w:t xml:space="preserve"> (Killing three persons immune of capital crime belonging to a same family or dismembering one person)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17D"/>
    <w:rsid w:val="0009517D"/>
    <w:rsid w:val="00450AF3"/>
    <w:rsid w:val="00563BEB"/>
    <w:rsid w:val="005C0C76"/>
    <w:rsid w:val="006C5673"/>
    <w:rsid w:val="00700937"/>
    <w:rsid w:val="00CB64A4"/>
    <w:rsid w:val="00F5162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69D24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09517D"/>
    <w:rPr>
      <w:rFonts w:eastAsia="ＭＳ 明朝"/>
      <w:lang w:val="en-US"/>
    </w:rPr>
  </w:style>
  <w:style w:type="character" w:customStyle="1" w:styleId="NotedebasdepageCar">
    <w:name w:val="Note de bas de page Car"/>
    <w:basedOn w:val="Policepardfaut"/>
    <w:link w:val="Notedebasdepage"/>
    <w:rsid w:val="0009517D"/>
    <w:rPr>
      <w:rFonts w:eastAsia="ＭＳ 明朝"/>
      <w:lang w:val="en-US" w:eastAsia="fr-FR"/>
    </w:rPr>
  </w:style>
  <w:style w:type="character" w:styleId="Marquenotebasdepage">
    <w:name w:val="footnote reference"/>
    <w:basedOn w:val="Policepardfaut"/>
    <w:semiHidden/>
    <w:rsid w:val="0009517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09517D"/>
    <w:rPr>
      <w:rFonts w:eastAsia="ＭＳ 明朝"/>
      <w:lang w:val="en-US"/>
    </w:rPr>
  </w:style>
  <w:style w:type="character" w:customStyle="1" w:styleId="NotedebasdepageCar">
    <w:name w:val="Note de bas de page Car"/>
    <w:basedOn w:val="Policepardfaut"/>
    <w:link w:val="Notedebasdepage"/>
    <w:rsid w:val="0009517D"/>
    <w:rPr>
      <w:rFonts w:eastAsia="ＭＳ 明朝"/>
      <w:lang w:val="en-US" w:eastAsia="fr-FR"/>
    </w:rPr>
  </w:style>
  <w:style w:type="character" w:styleId="Marquenotebasdepage">
    <w:name w:val="footnote reference"/>
    <w:basedOn w:val="Policepardfaut"/>
    <w:semiHidden/>
    <w:rsid w:val="000951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970</Words>
  <Characters>5338</Characters>
  <Application>Microsoft Macintosh Word</Application>
  <DocSecurity>0</DocSecurity>
  <Lines>44</Lines>
  <Paragraphs>12</Paragraphs>
  <ScaleCrop>false</ScaleCrop>
  <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2015-10-08T10:19:00Z</dcterms:created>
  <dcterms:modified xsi:type="dcterms:W3CDTF">2015-10-08T10:33:00Z</dcterms:modified>
</cp:coreProperties>
</file>