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4" w:rsidRPr="00E07294" w:rsidRDefault="00E07294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  <w:r w:rsidRPr="00E07294">
        <w:rPr>
          <w:rFonts w:ascii="細明體" w:eastAsia="細明體" w:hAnsi="細明體"/>
          <w:sz w:val="24"/>
          <w:szCs w:val="24"/>
          <w:lang w:val="fr-FR" w:eastAsia="fr-FR"/>
        </w:rPr>
        <w:fldChar w:fldCharType="begin"/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instrText xml:space="preserve"> HYPERLINK "http://lsc.chineselegalculture.org/eC/DQLL_1740/5.1.2.22" </w:instrTex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fldChar w:fldCharType="separate"/>
      </w:r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律/</w:t>
      </w:r>
      <w:proofErr w:type="spellStart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lü</w:t>
      </w:r>
      <w:proofErr w:type="spellEnd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 xml:space="preserve"> 22 | </w:t>
      </w:r>
      <w:proofErr w:type="spellStart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Laoxiao</w:t>
      </w:r>
      <w:proofErr w:type="spellEnd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feiji</w:t>
      </w:r>
      <w:proofErr w:type="spellEnd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shoushu</w:t>
      </w:r>
      <w:proofErr w:type="spellEnd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E07294">
        <w:rPr>
          <w:rFonts w:ascii="細明體" w:eastAsia="細明體" w:hAnsi="細明體"/>
          <w:color w:val="0000FF"/>
          <w:sz w:val="24"/>
          <w:szCs w:val="24"/>
          <w:u w:val="single"/>
          <w:lang w:val="fr-FR" w:eastAsia="fr-FR"/>
        </w:rPr>
        <w:t>老小廢疾收贖</w:t>
      </w:r>
      <w:proofErr w:type="spellEnd"/>
      <w:r w:rsidRPr="00E07294">
        <w:rPr>
          <w:rFonts w:ascii="細明體" w:eastAsia="細明體" w:hAnsi="細明體"/>
          <w:sz w:val="24"/>
          <w:szCs w:val="24"/>
          <w:lang w:val="fr-FR" w:eastAsia="fr-FR"/>
        </w:rPr>
        <w:fldChar w:fldCharType="end"/>
      </w:r>
    </w:p>
    <w:p w:rsidR="00E07294" w:rsidRDefault="00E07294" w:rsidP="00E07294">
      <w:pPr>
        <w:spacing w:after="0"/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</w:pP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凡年七十以上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十五以下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及廢疾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 w:cs="儷宋 Pro" w:hint="eastAsia"/>
          <w:color w:val="3370FF"/>
          <w:sz w:val="24"/>
          <w:szCs w:val="24"/>
          <w:vertAlign w:val="subscript"/>
          <w:lang w:val="fr-FR" w:eastAsia="fr-FR"/>
        </w:rPr>
        <w:t>瞎一目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折一肢之類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犯流罪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以下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收贖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 w:cs="儷宋 Pro" w:hint="eastAsia"/>
          <w:color w:val="3370FF"/>
          <w:sz w:val="24"/>
          <w:szCs w:val="24"/>
          <w:vertAlign w:val="subscript"/>
          <w:lang w:val="fr-FR" w:eastAsia="fr-FR"/>
        </w:rPr>
        <w:t>其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犯死罪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及犯謀反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叛逆緣坐應流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若造畜蠱毒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採生折割人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殺一家三人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家口會赦猶流者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不用此律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其餘侵損於人一應罪名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并聽收贖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犯該充軍者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亦照流罪收贖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八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十以上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十歲以下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及篤疾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瞎兩目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折兩肢之類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犯殺人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謀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鬥毆</w:t>
      </w:r>
      <w:bookmarkStart w:id="0" w:name="_GoBack"/>
      <w:bookmarkEnd w:id="0"/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應死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一應斬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、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絞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議擬奏聞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犯反逆者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不用此律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取自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上裁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；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盜及傷人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罪不至死者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亦收贖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；</w:t>
      </w:r>
      <w:r w:rsidRPr="00E07294">
        <w:rPr>
          <w:rFonts w:ascii="細明體" w:eastAsia="細明體" w:hAnsi="細明體" w:cs="儷宋 Pro" w:hint="eastAsia"/>
          <w:color w:val="3370FF"/>
          <w:sz w:val="24"/>
          <w:szCs w:val="24"/>
          <w:vertAlign w:val="subscript"/>
          <w:lang w:val="fr-FR" w:eastAsia="fr-FR"/>
        </w:rPr>
        <w:t>謂既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侵損於人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故不許全免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亦令其收贖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餘皆勿論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謂除殺人應死者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上請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；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盜及傷人者收贖之外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其餘有犯皆不坐罪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九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十以上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七歲以下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雖有死罪不加刑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；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九十以上犯反逆者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不用此律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其有人教令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坐其教令者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；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若有贜應償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受贜者償之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謂九十以上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七歲以下之人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皆少智力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若有教令之者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罪坐教令之人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或盜財物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旁人受而將用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受用者償之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若老小自用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還著老小之人追徵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</w:p>
    <w:p w:rsidR="004F6907" w:rsidRDefault="004F6907" w:rsidP="00E07294">
      <w:pPr>
        <w:spacing w:after="0"/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</w:pPr>
    </w:p>
    <w:p w:rsidR="004F6907" w:rsidRDefault="004F6907" w:rsidP="00E07294">
      <w:pPr>
        <w:spacing w:after="0"/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</w:pPr>
    </w:p>
    <w:p w:rsidR="004F6907" w:rsidRDefault="004F6907" w:rsidP="00E07294">
      <w:pPr>
        <w:spacing w:after="0"/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</w:pPr>
    </w:p>
    <w:p w:rsidR="004F6907" w:rsidRDefault="004F6907" w:rsidP="00E07294">
      <w:pPr>
        <w:spacing w:after="0"/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</w:pPr>
    </w:p>
    <w:p w:rsidR="004F6907" w:rsidRPr="00E07294" w:rsidRDefault="004F6907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</w:p>
    <w:p w:rsidR="00E07294" w:rsidRPr="00E07294" w:rsidRDefault="004F6907" w:rsidP="00E07294">
      <w:pPr>
        <w:spacing w:after="0"/>
        <w:ind w:left="300"/>
        <w:rPr>
          <w:rFonts w:ascii="細明體" w:eastAsia="細明體" w:hAnsi="細明體"/>
          <w:sz w:val="24"/>
          <w:szCs w:val="24"/>
          <w:lang w:val="fr-FR" w:eastAsia="fr-FR"/>
        </w:rPr>
      </w:pPr>
      <w:hyperlink r:id="rId5" w:history="1"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條例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/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tiaoli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1 </w:t>
        </w:r>
      </w:hyperlink>
    </w:p>
    <w:p w:rsidR="00E07294" w:rsidRPr="00E07294" w:rsidRDefault="00E07294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凡老幼及廢疾犯罪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律該收贖者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若例該枷號一體放免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應得杖罪仍令收贖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</w:p>
    <w:p w:rsidR="00E07294" w:rsidRPr="00E07294" w:rsidRDefault="004F6907" w:rsidP="00E07294">
      <w:pPr>
        <w:spacing w:after="0"/>
        <w:ind w:left="300"/>
        <w:rPr>
          <w:rFonts w:ascii="細明體" w:eastAsia="細明體" w:hAnsi="細明體"/>
          <w:sz w:val="24"/>
          <w:szCs w:val="24"/>
          <w:lang w:val="fr-FR" w:eastAsia="fr-FR"/>
        </w:rPr>
      </w:pPr>
      <w:hyperlink r:id="rId6" w:history="1"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條例/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tiaoli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2 </w:t>
        </w:r>
      </w:hyperlink>
    </w:p>
    <w:p w:rsidR="00E07294" w:rsidRPr="00E07294" w:rsidRDefault="00E07294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  <w:r w:rsidRPr="00E07294">
        <w:rPr>
          <w:rFonts w:ascii="細明體" w:eastAsia="細明體" w:hAnsi="細明體" w:cs="儷宋 Pro" w:hint="eastAsia"/>
          <w:sz w:val="24"/>
          <w:szCs w:val="24"/>
          <w:lang w:val="fr-FR" w:eastAsia="fr-FR"/>
        </w:rPr>
        <w:t>內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 xml:space="preserve"> 外現審人犯不應具題者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若有老小廢疾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俱照律完結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其直隸各省審擬具題案內人犯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果有老小廢疾者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該督撫察明取具地方官印結具題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照律收贖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如實非老小廢 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徇情題免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事發者將出結轉詳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官并督撫交部議處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其到部人犯有告稱年老及在中途成廢疾者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察明實係老疾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亦得收贖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</w:p>
    <w:p w:rsidR="00E07294" w:rsidRPr="00E07294" w:rsidRDefault="004F6907" w:rsidP="00E07294">
      <w:pPr>
        <w:spacing w:after="0"/>
        <w:ind w:left="300"/>
        <w:rPr>
          <w:rFonts w:ascii="細明體" w:eastAsia="細明體" w:hAnsi="細明體"/>
          <w:sz w:val="24"/>
          <w:szCs w:val="24"/>
          <w:lang w:val="fr-FR" w:eastAsia="fr-FR"/>
        </w:rPr>
      </w:pPr>
      <w:hyperlink r:id="rId7" w:history="1"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條例/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tiaoli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3 </w:t>
        </w:r>
      </w:hyperlink>
    </w:p>
    <w:p w:rsidR="00E07294" w:rsidRPr="00E07294" w:rsidRDefault="00E07294" w:rsidP="00E07294">
      <w:pPr>
        <w:spacing w:after="0"/>
        <w:rPr>
          <w:rFonts w:ascii="細明體" w:eastAsia="細明體" w:hAnsi="細明體" w:cs="Microsoft Tai Le"/>
          <w:sz w:val="24"/>
          <w:szCs w:val="24"/>
          <w:lang w:val="fr-FR" w:eastAsia="fr-FR"/>
        </w:rPr>
      </w:pP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教令七歲小兒毆打父母者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坐教令者以毆凡人之罪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教令九十老人故殺子孫者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亦坐教令者以殺凡人之罪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</w:p>
    <w:p w:rsidR="00E07294" w:rsidRPr="00E07294" w:rsidRDefault="00E07294" w:rsidP="00E07294">
      <w:pPr>
        <w:spacing w:after="0"/>
        <w:rPr>
          <w:rFonts w:ascii="細明體" w:eastAsia="細明體" w:hAnsi="細明體" w:cs="Microsoft Tai Le"/>
          <w:sz w:val="24"/>
          <w:szCs w:val="24"/>
          <w:lang w:val="fr-FR" w:eastAsia="fr-FR"/>
        </w:rPr>
      </w:pPr>
    </w:p>
    <w:p w:rsidR="00E07294" w:rsidRPr="00E07294" w:rsidRDefault="004F6907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  <w:hyperlink r:id="rId8" w:history="1">
        <w:proofErr w:type="spellStart"/>
        <w:proofErr w:type="gram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lü</w:t>
        </w:r>
        <w:proofErr w:type="spellEnd"/>
        <w:proofErr w:type="gram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23 | 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Fanzui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shi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wei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</w:t>
        </w:r>
        <w:proofErr w:type="spellStart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>laoji</w:t>
        </w:r>
        <w:proofErr w:type="spellEnd"/>
        <w:r w:rsidR="00E07294" w:rsidRPr="00E07294">
          <w:rPr>
            <w:rFonts w:ascii="細明體" w:eastAsia="細明體" w:hAnsi="細明體"/>
            <w:color w:val="0000FF"/>
            <w:sz w:val="24"/>
            <w:szCs w:val="24"/>
            <w:u w:val="single"/>
            <w:lang w:val="fr-FR" w:eastAsia="fr-FR"/>
          </w:rPr>
          <w:t xml:space="preserve"> 犯罪時未老疾</w:t>
        </w:r>
      </w:hyperlink>
    </w:p>
    <w:p w:rsidR="00E07294" w:rsidRPr="00E07294" w:rsidRDefault="00E07294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凡犯罪時雖未老疾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而事發時老疾者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依老疾論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謂如六十九以下犯罪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年七十事發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；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或無疾時犯罪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有廢疾後事發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得依老疾收贖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或七十九以下犯死罪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八十事發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；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或廢疾時犯罪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篤疾時事發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得入上請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八十九犯死罪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九十事發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得入勿論之內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若在徒年限內老疾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亦如之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謂如六十九以下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徒役三年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役限未滿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年入七十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；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或入徒時無病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徒役年限內成廢疾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並聽准老疾收贖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以徒一年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三百六十日為率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驗該杖徒若干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應贖銀若干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俱照例折役收贖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犯罪時幼小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事發時長大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，</w:t>
      </w:r>
      <w:r w:rsidRPr="00E07294">
        <w:rPr>
          <w:rFonts w:ascii="細明體" w:eastAsia="細明體" w:hAnsi="細明體"/>
          <w:sz w:val="24"/>
          <w:szCs w:val="24"/>
          <w:lang w:val="fr-FR" w:eastAsia="fr-FR"/>
        </w:rPr>
        <w:t>依幼小論</w:t>
      </w:r>
      <w:r w:rsidRPr="00E07294">
        <w:rPr>
          <w:rFonts w:ascii="細明體" w:eastAsia="細明體" w:hAnsi="細明體" w:cs="Microsoft Tai Le"/>
          <w:sz w:val="24"/>
          <w:szCs w:val="24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謂如七歲犯死罪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八歲事發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勿論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十歲殺人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十一歲事發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仍得上請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十五歲時作賊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十六歲事發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，</w:t>
      </w:r>
      <w:r w:rsidRPr="00E07294">
        <w:rPr>
          <w:rFonts w:ascii="細明體" w:eastAsia="細明體" w:hAnsi="細明體"/>
          <w:color w:val="3370FF"/>
          <w:sz w:val="24"/>
          <w:szCs w:val="24"/>
          <w:vertAlign w:val="subscript"/>
          <w:lang w:val="fr-FR" w:eastAsia="fr-FR"/>
        </w:rPr>
        <w:t>仍以贖論</w:t>
      </w:r>
      <w:r w:rsidRPr="00E07294">
        <w:rPr>
          <w:rFonts w:ascii="細明體" w:eastAsia="細明體" w:hAnsi="細明體" w:cs="Microsoft Tai Le"/>
          <w:color w:val="3370FF"/>
          <w:sz w:val="24"/>
          <w:szCs w:val="24"/>
          <w:vertAlign w:val="subscript"/>
          <w:lang w:val="fr-FR" w:eastAsia="fr-FR"/>
        </w:rPr>
        <w:t>。</w:t>
      </w:r>
    </w:p>
    <w:p w:rsidR="00E07294" w:rsidRPr="00E07294" w:rsidRDefault="00E07294" w:rsidP="00E07294">
      <w:pPr>
        <w:spacing w:after="0"/>
        <w:rPr>
          <w:rFonts w:ascii="細明體" w:eastAsia="細明體" w:hAnsi="細明體"/>
          <w:sz w:val="24"/>
          <w:szCs w:val="24"/>
          <w:lang w:val="fr-FR" w:eastAsia="fr-FR"/>
        </w:rPr>
      </w:pPr>
    </w:p>
    <w:p w:rsidR="00700937" w:rsidRDefault="00700937"/>
    <w:sectPr w:rsidR="00700937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94"/>
    <w:rsid w:val="0000046E"/>
    <w:rsid w:val="000D457E"/>
    <w:rsid w:val="002114FD"/>
    <w:rsid w:val="00272562"/>
    <w:rsid w:val="004860F2"/>
    <w:rsid w:val="004F6907"/>
    <w:rsid w:val="00582BF3"/>
    <w:rsid w:val="005D0D75"/>
    <w:rsid w:val="00632FCC"/>
    <w:rsid w:val="00644A65"/>
    <w:rsid w:val="006B3498"/>
    <w:rsid w:val="00700937"/>
    <w:rsid w:val="007D64EC"/>
    <w:rsid w:val="008930D1"/>
    <w:rsid w:val="008F0DE0"/>
    <w:rsid w:val="00901D65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07294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E07294"/>
    <w:pPr>
      <w:spacing w:before="100" w:beforeAutospacing="1" w:after="100" w:afterAutospacing="1"/>
    </w:pPr>
    <w:rPr>
      <w:rFonts w:ascii="Times" w:hAnsi="Times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07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E07294"/>
    <w:pPr>
      <w:spacing w:before="100" w:beforeAutospacing="1" w:after="100" w:afterAutospacing="1"/>
    </w:pPr>
    <w:rPr>
      <w:rFonts w:ascii="Times" w:hAnsi="Times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07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5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9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05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5.1.2.22.1" TargetMode="External"/><Relationship Id="rId6" Type="http://schemas.openxmlformats.org/officeDocument/2006/relationships/hyperlink" Target="http://lsc.chineselegalculture.org/eC/DQLL_1740/5.1.2.22.2" TargetMode="External"/><Relationship Id="rId7" Type="http://schemas.openxmlformats.org/officeDocument/2006/relationships/hyperlink" Target="http://lsc.chineselegalculture.org/eC/DQLL_1740/5.1.2.22.3" TargetMode="External"/><Relationship Id="rId8" Type="http://schemas.openxmlformats.org/officeDocument/2006/relationships/hyperlink" Target="http://lsc.chineselegalculture.org/eC/DQLL_1740/5.1.2.2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2016-03-04T17:35:00Z</dcterms:created>
  <dcterms:modified xsi:type="dcterms:W3CDTF">2016-03-04T17:35:00Z</dcterms:modified>
</cp:coreProperties>
</file>