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2AA22DF" w14:textId="77777777" w:rsidR="00213CF1" w:rsidRPr="00D61697" w:rsidRDefault="00213CF1" w:rsidP="00213CF1">
      <w:pPr>
        <w:spacing w:after="0"/>
        <w:jc w:val="both"/>
        <w:rPr>
          <w:rFonts w:ascii="Times" w:eastAsia="細明體" w:hAnsi="Times"/>
          <w:sz w:val="24"/>
          <w:szCs w:val="24"/>
          <w:lang w:val="fr-FR" w:eastAsia="fr-FR"/>
        </w:rPr>
      </w:pPr>
      <w:r>
        <w:fldChar w:fldCharType="begin"/>
      </w:r>
      <w:r>
        <w:instrText xml:space="preserve"> HYPERLINK "http://lsc.chineselegalculture.org/eC/DQLL_1740/5.1.1.11" </w:instrText>
      </w:r>
      <w:r>
        <w:fldChar w:fldCharType="separate"/>
      </w:r>
      <w:r w:rsidRPr="00D61697"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t>律</w:t>
      </w:r>
      <w:r w:rsidRPr="00D61697"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t>/</w:t>
      </w:r>
      <w:proofErr w:type="spellStart"/>
      <w:r w:rsidRPr="00D61697"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t>lü</w:t>
      </w:r>
      <w:proofErr w:type="spellEnd"/>
      <w:r w:rsidRPr="00D61697"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t xml:space="preserve"> 11 | </w:t>
      </w:r>
      <w:proofErr w:type="spellStart"/>
      <w:r w:rsidRPr="00D61697"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t>Fanzui</w:t>
      </w:r>
      <w:proofErr w:type="spellEnd"/>
      <w:r w:rsidRPr="00D61697"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t xml:space="preserve"> de </w:t>
      </w:r>
      <w:proofErr w:type="spellStart"/>
      <w:r w:rsidRPr="00D61697"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t>leijian</w:t>
      </w:r>
      <w:proofErr w:type="spellEnd"/>
      <w:r w:rsidRPr="00D61697"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t xml:space="preserve"> </w:t>
      </w:r>
      <w:proofErr w:type="spellStart"/>
      <w:r w:rsidRPr="00D61697"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t>犯罪得累減</w:t>
      </w:r>
      <w:proofErr w:type="spellEnd"/>
      <w:r>
        <w:rPr>
          <w:rFonts w:ascii="Times" w:eastAsia="細明體" w:hAnsi="Times"/>
          <w:color w:val="0000FF"/>
          <w:sz w:val="24"/>
          <w:szCs w:val="24"/>
          <w:u w:val="single"/>
          <w:lang w:val="fr-FR" w:eastAsia="fr-FR"/>
        </w:rPr>
        <w:fldChar w:fldCharType="end"/>
      </w:r>
    </w:p>
    <w:bookmarkEnd w:id="0"/>
    <w:p w14:paraId="0408B4CF" w14:textId="77777777" w:rsidR="00213CF1" w:rsidRPr="00D0369E" w:rsidRDefault="00213CF1" w:rsidP="00213CF1">
      <w:pPr>
        <w:spacing w:after="0"/>
        <w:jc w:val="both"/>
        <w:rPr>
          <w:rFonts w:ascii="細明體" w:eastAsia="細明體" w:hAnsi="Times"/>
          <w:sz w:val="24"/>
          <w:szCs w:val="24"/>
          <w:lang w:val="fr-FR" w:eastAsia="fr-FR"/>
        </w:rPr>
      </w:pPr>
      <w:r w:rsidRPr="00D0369E">
        <w:rPr>
          <w:rFonts w:ascii="細明體" w:eastAsia="細明體" w:hAnsi="Times" w:hint="eastAsia"/>
          <w:sz w:val="24"/>
          <w:szCs w:val="24"/>
          <w:lang w:val="fr-FR" w:eastAsia="fr-FR"/>
        </w:rPr>
        <w:t>凡一人犯罪應減者</w:t>
      </w:r>
      <w:r w:rsidRPr="00D0369E">
        <w:rPr>
          <w:rFonts w:ascii="細明體" w:eastAsia="細明體" w:hAnsi="Microsoft Tai Le" w:cs="Microsoft Tai Le" w:hint="eastAsia"/>
          <w:sz w:val="24"/>
          <w:szCs w:val="24"/>
          <w:lang w:val="fr-FR" w:eastAsia="fr-FR"/>
        </w:rPr>
        <w:t>，</w:t>
      </w:r>
      <w:r w:rsidRPr="00D0369E">
        <w:rPr>
          <w:rFonts w:ascii="細明體" w:eastAsia="細明體" w:hAnsi="Times" w:hint="eastAsia"/>
          <w:sz w:val="24"/>
          <w:szCs w:val="24"/>
          <w:lang w:val="fr-FR" w:eastAsia="fr-FR"/>
        </w:rPr>
        <w:t>若為從減</w:t>
      </w:r>
      <w:r w:rsidRPr="00D0369E">
        <w:rPr>
          <w:rFonts w:ascii="細明體" w:eastAsia="細明體" w:hAnsi="Microsoft Tai Le" w:cs="Microsoft Tai Le" w:hint="eastAsia"/>
          <w:sz w:val="24"/>
          <w:szCs w:val="24"/>
          <w:lang w:val="fr-FR" w:eastAsia="fr-FR"/>
        </w:rPr>
        <w:t>、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謂共犯罪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以造意者為首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隨從者減一等</w:t>
      </w:r>
      <w:r w:rsidRPr="00D0369E">
        <w:rPr>
          <w:rFonts w:ascii="細明體" w:eastAsia="細明體" w:hAnsi="Microsoft Tai Le" w:cs="Microsoft Tai Le" w:hint="eastAsia"/>
          <w:color w:val="3370FF"/>
          <w:sz w:val="24"/>
          <w:szCs w:val="24"/>
          <w:vertAlign w:val="subscript"/>
          <w:lang w:val="fr-FR" w:eastAsia="fr-FR"/>
        </w:rPr>
        <w:t>。</w:t>
      </w:r>
      <w:r w:rsidRPr="00D0369E">
        <w:rPr>
          <w:rFonts w:ascii="細明體" w:eastAsia="細明體" w:hAnsi="Times" w:hint="eastAsia"/>
          <w:sz w:val="24"/>
          <w:szCs w:val="24"/>
          <w:lang w:val="fr-FR" w:eastAsia="fr-FR"/>
        </w:rPr>
        <w:t>自首減</w:t>
      </w:r>
      <w:r w:rsidRPr="00D0369E">
        <w:rPr>
          <w:rFonts w:ascii="細明體" w:eastAsia="細明體" w:hAnsi="Microsoft Tai Le" w:cs="Microsoft Tai Le" w:hint="eastAsia"/>
          <w:sz w:val="24"/>
          <w:szCs w:val="24"/>
          <w:lang w:val="fr-FR" w:eastAsia="fr-FR"/>
        </w:rPr>
        <w:t>、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謂犯法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知人欲告而自首者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聽減二等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。</w:t>
      </w:r>
      <w:r w:rsidRPr="00B13804">
        <w:rPr>
          <w:rFonts w:ascii="細明體" w:eastAsia="細明體" w:hAnsi="Times" w:hint="eastAsia"/>
          <w:sz w:val="28"/>
          <w:szCs w:val="28"/>
          <w:lang w:val="fr-FR" w:eastAsia="fr-FR"/>
        </w:rPr>
        <w:t>故失減</w:t>
      </w:r>
      <w:r w:rsidRPr="00B13804">
        <w:rPr>
          <w:rFonts w:ascii="細明體" w:eastAsia="細明體" w:hAnsi="Microsoft Tai Le" w:cs="Microsoft Tai Le" w:hint="eastAsia"/>
          <w:sz w:val="28"/>
          <w:szCs w:val="28"/>
          <w:lang w:val="fr-FR" w:eastAsia="fr-FR"/>
        </w:rPr>
        <w:t>、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謂吏典故出人罪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放而還獲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止減一等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。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首領官不知情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以失論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失出減五等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比吏典又減一等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還獲又減一等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通減七等</w:t>
      </w:r>
      <w:r w:rsidRPr="00D0369E">
        <w:rPr>
          <w:rFonts w:ascii="細明體" w:eastAsia="細明體" w:hAnsi="Microsoft Tai Le" w:cs="Microsoft Tai Le" w:hint="eastAsia"/>
          <w:color w:val="3370FF"/>
          <w:sz w:val="24"/>
          <w:szCs w:val="24"/>
          <w:vertAlign w:val="subscript"/>
          <w:lang w:val="fr-FR" w:eastAsia="fr-FR"/>
        </w:rPr>
        <w:t>。</w:t>
      </w:r>
      <w:r w:rsidRPr="00D0369E">
        <w:rPr>
          <w:rFonts w:ascii="細明體" w:eastAsia="細明體" w:hAnsi="Times" w:hint="eastAsia"/>
          <w:sz w:val="24"/>
          <w:szCs w:val="24"/>
          <w:lang w:val="fr-FR" w:eastAsia="fr-FR"/>
        </w:rPr>
        <w:t>公罪遞減之類</w:t>
      </w:r>
      <w:r w:rsidRPr="00D0369E">
        <w:rPr>
          <w:rFonts w:ascii="細明體" w:eastAsia="細明體" w:hAnsi="Microsoft Tai Le" w:cs="Microsoft Tai Le" w:hint="eastAsia"/>
          <w:sz w:val="24"/>
          <w:szCs w:val="24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謂同僚犯公罪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失於入者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吏典減三等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。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若未決放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又減一等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通減四等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。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首領官減五等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佐貳官減六等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長官減七等之類</w:t>
      </w:r>
      <w:r w:rsidRPr="00D0369E">
        <w:rPr>
          <w:rFonts w:ascii="細明體" w:eastAsia="細明體" w:hAnsi="Microsoft Tai Le" w:cs="Microsoft Tai Le" w:hint="eastAsia"/>
          <w:color w:val="3370FF"/>
          <w:sz w:val="24"/>
          <w:szCs w:val="24"/>
          <w:vertAlign w:val="subscript"/>
          <w:lang w:val="fr-FR" w:eastAsia="fr-FR"/>
        </w:rPr>
        <w:t>。</w:t>
      </w:r>
      <w:r w:rsidRPr="00D0369E">
        <w:rPr>
          <w:rFonts w:ascii="細明體" w:eastAsia="細明體" w:hAnsi="Times" w:hint="eastAsia"/>
          <w:sz w:val="24"/>
          <w:szCs w:val="24"/>
          <w:lang w:val="fr-FR" w:eastAsia="fr-FR"/>
        </w:rPr>
        <w:t>並得累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減而復</w:t>
      </w:r>
      <w:r w:rsidRPr="00D0369E">
        <w:rPr>
          <w:rFonts w:ascii="細明體" w:eastAsia="細明體" w:hAnsi="Times" w:hint="eastAsia"/>
          <w:sz w:val="24"/>
          <w:szCs w:val="24"/>
          <w:lang w:val="fr-FR" w:eastAsia="fr-FR"/>
        </w:rPr>
        <w:t>減</w:t>
      </w:r>
      <w:r w:rsidRPr="00D0369E">
        <w:rPr>
          <w:rFonts w:ascii="細明體" w:eastAsia="細明體" w:hAnsi="Microsoft Tai Le" w:cs="Microsoft Tai Le" w:hint="eastAsia"/>
          <w:sz w:val="24"/>
          <w:szCs w:val="24"/>
          <w:lang w:val="fr-FR" w:eastAsia="fr-FR"/>
        </w:rPr>
        <w:t>。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如此之類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，</w:t>
      </w:r>
      <w:r w:rsidRPr="00B13804">
        <w:rPr>
          <w:rFonts w:ascii="細明體" w:eastAsia="細明體" w:hAnsi="Times" w:hint="eastAsia"/>
          <w:color w:val="3370FF"/>
          <w:sz w:val="28"/>
          <w:szCs w:val="28"/>
          <w:vertAlign w:val="subscript"/>
          <w:lang w:val="fr-FR" w:eastAsia="fr-FR"/>
        </w:rPr>
        <w:t>俱得累減科罪</w:t>
      </w:r>
      <w:r w:rsidRPr="00B13804">
        <w:rPr>
          <w:rFonts w:ascii="細明體" w:eastAsia="細明體" w:hAnsi="Microsoft Tai Le" w:cs="Microsoft Tai Le" w:hint="eastAsia"/>
          <w:color w:val="3370FF"/>
          <w:sz w:val="28"/>
          <w:szCs w:val="28"/>
          <w:vertAlign w:val="subscript"/>
          <w:lang w:val="fr-FR" w:eastAsia="fr-FR"/>
        </w:rPr>
        <w:t>。</w:t>
      </w:r>
    </w:p>
    <w:p w14:paraId="5D0D1CF9" w14:textId="77777777" w:rsidR="00213CF1" w:rsidRPr="000A149A" w:rsidRDefault="00213CF1" w:rsidP="00213CF1">
      <w:pPr>
        <w:pStyle w:val="NormalWeb"/>
        <w:jc w:val="both"/>
        <w:rPr>
          <w:b/>
          <w:sz w:val="24"/>
          <w:szCs w:val="24"/>
        </w:rPr>
      </w:pPr>
      <w:r w:rsidRPr="000A149A">
        <w:rPr>
          <w:b/>
          <w:sz w:val="24"/>
          <w:szCs w:val="24"/>
        </w:rPr>
        <w:t>Criminel obtenant un cumul de diminutions [de peine] :</w:t>
      </w:r>
    </w:p>
    <w:p w14:paraId="5B1D6A00" w14:textId="77777777" w:rsidR="00213CF1" w:rsidRPr="000A149A" w:rsidRDefault="00213CF1" w:rsidP="00213CF1">
      <w:pPr>
        <w:pStyle w:val="NormalWeb"/>
        <w:jc w:val="both"/>
        <w:rPr>
          <w:color w:val="3366FF"/>
          <w:sz w:val="24"/>
          <w:szCs w:val="24"/>
        </w:rPr>
      </w:pPr>
      <w:r w:rsidRPr="000A149A">
        <w:rPr>
          <w:sz w:val="24"/>
          <w:szCs w:val="24"/>
        </w:rPr>
        <w:t xml:space="preserve">Tout auteur d’un crime dont la peine est sujette à diminution, par exemple parce qu’il a suivi [l’ auteur principal] </w:t>
      </w:r>
      <w:r w:rsidRPr="000A149A">
        <w:rPr>
          <w:color w:val="3366FF"/>
          <w:sz w:val="24"/>
          <w:szCs w:val="24"/>
        </w:rPr>
        <w:t>c’est-à-dire que dans un crime commis en réunion, c’est l’initiateur qui est l’auteur principal, celui qui l’a suivi a une diminution d’un degré [par rapport à la peine de l’initiateur]</w:t>
      </w:r>
      <w:r w:rsidRPr="000A149A">
        <w:rPr>
          <w:rFonts w:hint="eastAsia"/>
          <w:sz w:val="24"/>
          <w:szCs w:val="24"/>
          <w:lang w:eastAsia="zh-TW"/>
        </w:rPr>
        <w:t xml:space="preserve"> </w:t>
      </w:r>
      <w:r w:rsidRPr="000A149A">
        <w:rPr>
          <w:sz w:val="24"/>
          <w:szCs w:val="24"/>
          <w:lang w:eastAsia="zh-TW"/>
        </w:rPr>
        <w:t xml:space="preserve">[art. </w:t>
      </w:r>
      <w:r w:rsidRPr="000A149A">
        <w:rPr>
          <w:rFonts w:hint="eastAsia"/>
          <w:sz w:val="24"/>
          <w:szCs w:val="24"/>
          <w:lang w:eastAsia="zh-TW"/>
        </w:rPr>
        <w:t>30]</w:t>
      </w:r>
      <w:r w:rsidRPr="000A149A">
        <w:rPr>
          <w:rStyle w:val="Marquenotebasdepage"/>
          <w:sz w:val="24"/>
          <w:szCs w:val="24"/>
          <w:lang w:eastAsia="zh-TW"/>
        </w:rPr>
        <w:footnoteReference w:id="1"/>
      </w:r>
      <w:r w:rsidRPr="000A149A">
        <w:rPr>
          <w:sz w:val="24"/>
          <w:szCs w:val="24"/>
        </w:rPr>
        <w:t xml:space="preserve">, ou parce qu’il s’est livré </w:t>
      </w:r>
      <w:r w:rsidRPr="000A149A">
        <w:rPr>
          <w:color w:val="3366FF"/>
          <w:sz w:val="24"/>
          <w:szCs w:val="24"/>
        </w:rPr>
        <w:t>c’est-à-dire que celui qui a enfreint la loi et sait que quelqu’un veut le dénoncer, s’il se livre à la justice, il bénéficie d’une diminution de peine de deux degrés</w:t>
      </w:r>
      <w:r w:rsidRPr="000A149A">
        <w:rPr>
          <w:sz w:val="24"/>
          <w:szCs w:val="24"/>
        </w:rPr>
        <w:t> [art. 25]</w:t>
      </w:r>
      <w:r w:rsidRPr="000A149A">
        <w:rPr>
          <w:rStyle w:val="Marquenotebasdepage"/>
          <w:sz w:val="24"/>
          <w:szCs w:val="24"/>
        </w:rPr>
        <w:footnoteReference w:id="2"/>
      </w:r>
      <w:r w:rsidRPr="000A149A">
        <w:rPr>
          <w:sz w:val="24"/>
          <w:szCs w:val="24"/>
        </w:rPr>
        <w:t xml:space="preserve">; ou parce qu’il a intentionnellement ou par erreur [acquitté ou inculpé quelqu’un à tort] </w:t>
      </w:r>
      <w:r w:rsidRPr="000A149A">
        <w:rPr>
          <w:color w:val="3366FF"/>
          <w:sz w:val="24"/>
          <w:szCs w:val="24"/>
        </w:rPr>
        <w:t xml:space="preserve">cela veut dire que lorsqu’un commis a intentionnellement acquitté quelqu’un d’un crime, l’a relaxé mais l’a ensuite arrêté de nouveau, [sa peine] est diminuée d’un degré seulement, son chef de service s’il n’était pas au courant [de l’intention du commis] est condamné pour le même fait, mais commis par erreur, et au titre de « acquitter par erreur », sa peine est diminuée de cinq degrés;  un degré de moins que la peine du commis aux écritures, et comme le coupable a été repris, cela fait encore un degré de moins : en tout, c’est une diminution de sept degrés </w:t>
      </w:r>
      <w:r w:rsidRPr="000A149A">
        <w:rPr>
          <w:sz w:val="24"/>
          <w:szCs w:val="24"/>
        </w:rPr>
        <w:t>[art. 409]</w:t>
      </w:r>
      <w:r w:rsidRPr="000A149A">
        <w:rPr>
          <w:rStyle w:val="Marquenotebasdepage"/>
          <w:sz w:val="24"/>
          <w:szCs w:val="24"/>
        </w:rPr>
        <w:footnoteReference w:id="3"/>
      </w:r>
      <w:r w:rsidRPr="000A149A">
        <w:rPr>
          <w:sz w:val="24"/>
          <w:szCs w:val="24"/>
        </w:rPr>
        <w:t> </w:t>
      </w:r>
      <w:r w:rsidRPr="000A149A">
        <w:rPr>
          <w:color w:val="3366FF"/>
          <w:sz w:val="24"/>
          <w:szCs w:val="24"/>
        </w:rPr>
        <w:t xml:space="preserve">, </w:t>
      </w:r>
      <w:r w:rsidRPr="000A149A">
        <w:rPr>
          <w:sz w:val="24"/>
          <w:szCs w:val="24"/>
        </w:rPr>
        <w:t>ou parce qu’il a commis une faute de service ce qui le place dans la catégorie des diminutions de peines proportionnelles [à la fonction] [art. 28]</w:t>
      </w:r>
      <w:r w:rsidRPr="000A149A">
        <w:rPr>
          <w:rStyle w:val="Marquenotebasdepage"/>
          <w:sz w:val="24"/>
          <w:szCs w:val="24"/>
        </w:rPr>
        <w:footnoteReference w:id="4"/>
      </w:r>
      <w:r w:rsidRPr="000A149A">
        <w:rPr>
          <w:sz w:val="24"/>
          <w:szCs w:val="24"/>
        </w:rPr>
        <w:t xml:space="preserve"> </w:t>
      </w:r>
      <w:r w:rsidRPr="000A149A">
        <w:rPr>
          <w:color w:val="3366FF"/>
          <w:sz w:val="24"/>
          <w:szCs w:val="24"/>
        </w:rPr>
        <w:t>c’est-à-dire que lorsque des collègues ont commis ensemble une faute de service, incriminant quelqu’un à tort par erreur, le commis aux écritures est passible d’une peine diminuée de trois degrés [par rapport à celle qu’il a fait encourir à l’innocent], et si la personne a été libérée avant que la peine soit exécutée, il gagne encore un degré, ce qui fait en tout quatre degré de diminution. Le chef du personnel a la même peine diminuée de cinq degrés, elle est diminuée de six degrés pour le directeur adjoint et de sept degrés pour le directeur du service</w:t>
      </w:r>
      <w:r w:rsidRPr="000A149A">
        <w:rPr>
          <w:sz w:val="24"/>
          <w:szCs w:val="24"/>
        </w:rPr>
        <w:t xml:space="preserve">. Toutes ces diminutions de peines sont cumulatives </w:t>
      </w:r>
      <w:r w:rsidRPr="000A149A">
        <w:rPr>
          <w:color w:val="3366FF"/>
          <w:sz w:val="24"/>
          <w:szCs w:val="24"/>
        </w:rPr>
        <w:t xml:space="preserve">et itératives, de sorte que toutes doivent être prises en compte dans </w:t>
      </w:r>
      <w:r w:rsidRPr="000A149A">
        <w:rPr>
          <w:color w:val="3366FF"/>
          <w:sz w:val="24"/>
          <w:szCs w:val="24"/>
          <w:lang w:eastAsia="zh-TW"/>
        </w:rPr>
        <w:t>la graduation de la peine</w:t>
      </w:r>
      <w:r w:rsidRPr="000A149A">
        <w:rPr>
          <w:color w:val="3366FF"/>
          <w:sz w:val="24"/>
          <w:szCs w:val="24"/>
        </w:rPr>
        <w:t>.</w:t>
      </w:r>
    </w:p>
    <w:p w14:paraId="12787146" w14:textId="77777777" w:rsidR="00213CF1" w:rsidRPr="0091527F" w:rsidRDefault="00213CF1" w:rsidP="00213CF1">
      <w:pPr>
        <w:pStyle w:val="NormalWeb"/>
        <w:spacing w:before="0" w:beforeAutospacing="0" w:after="0" w:afterAutospacing="0"/>
        <w:ind w:left="567"/>
        <w:jc w:val="both"/>
        <w:rPr>
          <w:b/>
          <w:sz w:val="24"/>
          <w:szCs w:val="24"/>
        </w:rPr>
      </w:pPr>
      <w:r w:rsidRPr="0091527F">
        <w:rPr>
          <w:b/>
          <w:sz w:val="24"/>
          <w:szCs w:val="24"/>
        </w:rPr>
        <w:t>Glossaire </w:t>
      </w:r>
      <w:proofErr w:type="spellStart"/>
      <w:r>
        <w:rPr>
          <w:b/>
          <w:sz w:val="24"/>
          <w:szCs w:val="24"/>
        </w:rPr>
        <w:t>lü</w:t>
      </w:r>
      <w:proofErr w:type="spellEnd"/>
      <w:r>
        <w:rPr>
          <w:b/>
          <w:sz w:val="24"/>
          <w:szCs w:val="24"/>
        </w:rPr>
        <w:t xml:space="preserve"> 11 </w:t>
      </w:r>
      <w:r w:rsidRPr="0091527F">
        <w:rPr>
          <w:b/>
          <w:sz w:val="24"/>
          <w:szCs w:val="24"/>
        </w:rPr>
        <w:t>:</w:t>
      </w:r>
    </w:p>
    <w:p w14:paraId="319E33CB" w14:textId="77777777" w:rsidR="00213CF1" w:rsidRDefault="00213CF1" w:rsidP="00213CF1">
      <w:pPr>
        <w:pStyle w:val="NormalWeb"/>
        <w:ind w:left="567"/>
        <w:jc w:val="both"/>
      </w:pPr>
      <w:proofErr w:type="spellStart"/>
      <w:proofErr w:type="gramStart"/>
      <w:r w:rsidRPr="00B13804">
        <w:rPr>
          <w:rFonts w:hint="eastAsia"/>
        </w:rPr>
        <w:t>leijian</w:t>
      </w:r>
      <w:proofErr w:type="spellEnd"/>
      <w:proofErr w:type="gramEnd"/>
      <w:r w:rsidRPr="00B13804">
        <w:rPr>
          <w:rFonts w:hint="eastAsia"/>
        </w:rPr>
        <w:t xml:space="preserve"> </w:t>
      </w:r>
      <w:proofErr w:type="spellStart"/>
      <w:r w:rsidRPr="00B13804">
        <w:rPr>
          <w:rFonts w:hint="eastAsia"/>
        </w:rPr>
        <w:t>累減</w:t>
      </w:r>
      <w:proofErr w:type="spellEnd"/>
      <w:r>
        <w:t> : cumul de diminutions [de peine]</w:t>
      </w:r>
    </w:p>
    <w:p w14:paraId="1D35B06A" w14:textId="77777777" w:rsidR="00213CF1" w:rsidRDefault="00213CF1" w:rsidP="00213CF1">
      <w:pPr>
        <w:pStyle w:val="NormalWeb"/>
        <w:ind w:left="567"/>
        <w:jc w:val="both"/>
      </w:pPr>
      <w:proofErr w:type="spellStart"/>
      <w:proofErr w:type="gramStart"/>
      <w:r>
        <w:t>zaoyi</w:t>
      </w:r>
      <w:proofErr w:type="spellEnd"/>
      <w:proofErr w:type="gramEnd"/>
      <w:r>
        <w:t xml:space="preserve"> </w:t>
      </w:r>
      <w:proofErr w:type="spellStart"/>
      <w:r>
        <w:t>zhe</w:t>
      </w:r>
      <w:proofErr w:type="spellEnd"/>
      <w:r>
        <w:t> </w:t>
      </w:r>
      <w:proofErr w:type="spellStart"/>
      <w:r w:rsidRPr="001A0B4F">
        <w:rPr>
          <w:rFonts w:ascii="細明體" w:eastAsia="細明體" w:hint="eastAsia"/>
          <w:color w:val="3370FF"/>
          <w:sz w:val="24"/>
          <w:szCs w:val="24"/>
        </w:rPr>
        <w:t>造意者</w:t>
      </w:r>
      <w:proofErr w:type="spellEnd"/>
      <w:r w:rsidRPr="001A0B4F">
        <w:rPr>
          <w:sz w:val="24"/>
          <w:szCs w:val="24"/>
        </w:rPr>
        <w:t>:</w:t>
      </w:r>
      <w:r>
        <w:t xml:space="preserve"> l’initiateur, celui qui a pris l’initiative [d’un crime]</w:t>
      </w:r>
    </w:p>
    <w:p w14:paraId="2FBD98CB" w14:textId="77777777" w:rsidR="00213CF1" w:rsidRDefault="00213CF1" w:rsidP="00213CF1">
      <w:pPr>
        <w:pStyle w:val="NormalWeb"/>
        <w:ind w:left="567"/>
        <w:jc w:val="both"/>
      </w:pPr>
      <w:proofErr w:type="spellStart"/>
      <w:proofErr w:type="gramStart"/>
      <w:r>
        <w:t>suicong</w:t>
      </w:r>
      <w:proofErr w:type="spellEnd"/>
      <w:proofErr w:type="gramEnd"/>
      <w:r>
        <w:t xml:space="preserve"> </w:t>
      </w:r>
      <w:proofErr w:type="spellStart"/>
      <w:r>
        <w:t>zhe</w:t>
      </w:r>
      <w:proofErr w:type="spellEnd"/>
      <w:r w:rsidRPr="001A0B4F">
        <w:rPr>
          <w:sz w:val="24"/>
          <w:szCs w:val="24"/>
        </w:rPr>
        <w:t> </w:t>
      </w:r>
      <w:proofErr w:type="spellStart"/>
      <w:r w:rsidRPr="001A0B4F">
        <w:rPr>
          <w:rFonts w:ascii="細明體" w:eastAsia="細明體" w:hint="eastAsia"/>
          <w:color w:val="3370FF"/>
          <w:sz w:val="24"/>
          <w:szCs w:val="24"/>
        </w:rPr>
        <w:t>隨從者</w:t>
      </w:r>
      <w:proofErr w:type="spellEnd"/>
      <w:r>
        <w:t>: celui qui a suivi, le « suiveur »</w:t>
      </w:r>
    </w:p>
    <w:p w14:paraId="179B65C3" w14:textId="77777777" w:rsidR="00213CF1" w:rsidRPr="00494192" w:rsidRDefault="00213CF1" w:rsidP="00213CF1">
      <w:pPr>
        <w:pStyle w:val="NormalWeb"/>
        <w:ind w:left="567"/>
        <w:jc w:val="both"/>
      </w:pPr>
      <w:proofErr w:type="spellStart"/>
      <w:r>
        <w:t>kezui</w:t>
      </w:r>
      <w:proofErr w:type="spellEnd"/>
      <w:r>
        <w:t xml:space="preserve"> </w:t>
      </w:r>
      <w:r>
        <w:rPr>
          <w:rFonts w:hint="eastAsia"/>
          <w:lang w:eastAsia="zh-TW"/>
        </w:rPr>
        <w:t>科罪</w:t>
      </w:r>
      <w:r>
        <w:t> : graduer la peine, qualifier le crime, déterminer la sentence ( ?)</w:t>
      </w:r>
    </w:p>
    <w:p w14:paraId="3F9B9E4A" w14:textId="77777777" w:rsidR="00213CF1" w:rsidRDefault="00213CF1" w:rsidP="00213CF1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14:paraId="50145C6A" w14:textId="77777777" w:rsidR="00700937" w:rsidRDefault="00700937"/>
    <w:sectPr w:rsidR="00700937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F73D" w14:textId="77777777" w:rsidR="00213CF1" w:rsidRDefault="00213CF1" w:rsidP="00213CF1">
      <w:pPr>
        <w:spacing w:after="0"/>
      </w:pPr>
      <w:r>
        <w:separator/>
      </w:r>
    </w:p>
  </w:endnote>
  <w:endnote w:type="continuationSeparator" w:id="0">
    <w:p w14:paraId="66CC21A0" w14:textId="77777777" w:rsidR="00213CF1" w:rsidRDefault="00213CF1" w:rsidP="00213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 3">
    <w:altName w:val="Times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A3F0D" w14:textId="77777777" w:rsidR="00213CF1" w:rsidRDefault="00213CF1" w:rsidP="00213CF1">
      <w:pPr>
        <w:spacing w:after="0"/>
      </w:pPr>
      <w:r>
        <w:separator/>
      </w:r>
    </w:p>
  </w:footnote>
  <w:footnote w:type="continuationSeparator" w:id="0">
    <w:p w14:paraId="6B76449F" w14:textId="77777777" w:rsidR="00213CF1" w:rsidRDefault="00213CF1" w:rsidP="00213CF1">
      <w:pPr>
        <w:spacing w:after="0"/>
      </w:pPr>
      <w:r>
        <w:continuationSeparator/>
      </w:r>
    </w:p>
  </w:footnote>
  <w:footnote w:id="1">
    <w:p w14:paraId="2BC92717" w14:textId="77777777" w:rsidR="00213CF1" w:rsidRPr="00A80293" w:rsidRDefault="00213CF1" w:rsidP="00213CF1">
      <w:pPr>
        <w:pStyle w:val="Notedebasdepage"/>
        <w:rPr>
          <w:sz w:val="20"/>
          <w:szCs w:val="20"/>
          <w:lang w:val="fr-FR"/>
        </w:rPr>
      </w:pPr>
      <w:r w:rsidRPr="00A80293">
        <w:rPr>
          <w:rStyle w:val="Marquenotebasdepage"/>
          <w:sz w:val="20"/>
          <w:szCs w:val="20"/>
        </w:rPr>
        <w:footnoteRef/>
      </w:r>
      <w:r w:rsidRPr="00A80293">
        <w:rPr>
          <w:sz w:val="20"/>
          <w:szCs w:val="20"/>
        </w:rPr>
        <w:t xml:space="preserve"> </w:t>
      </w:r>
      <w:hyperlink r:id="rId1" w:history="1">
        <w:r w:rsidRPr="00A80293">
          <w:rPr>
            <w:rStyle w:val="Lienhypertexte"/>
            <w:rFonts w:eastAsia="Times New Roman"/>
            <w:sz w:val="20"/>
            <w:szCs w:val="20"/>
          </w:rPr>
          <w:t>律</w:t>
        </w:r>
        <w:r w:rsidRPr="00A80293">
          <w:rPr>
            <w:rStyle w:val="Lienhypertexte"/>
            <w:rFonts w:eastAsia="Times New Roman"/>
            <w:sz w:val="20"/>
            <w:szCs w:val="20"/>
          </w:rPr>
          <w:t>/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l</w:t>
        </w:r>
        <w:r w:rsidRPr="00A80293">
          <w:rPr>
            <w:rStyle w:val="Lienhypertexte"/>
            <w:rFonts w:eastAsia="Times New Roman"/>
            <w:sz w:val="20"/>
            <w:szCs w:val="20"/>
          </w:rPr>
          <w:t>ü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30 | Gong 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fanzui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fen 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shoucong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</w:t>
        </w:r>
        <w:r w:rsidRPr="00A80293">
          <w:rPr>
            <w:rStyle w:val="Lienhypertexte"/>
            <w:rFonts w:eastAsia="Times New Roman"/>
            <w:sz w:val="20"/>
            <w:szCs w:val="20"/>
          </w:rPr>
          <w:t>共犯罪分首從</w:t>
        </w:r>
      </w:hyperlink>
    </w:p>
  </w:footnote>
  <w:footnote w:id="2">
    <w:p w14:paraId="5EED6B81" w14:textId="77777777" w:rsidR="00213CF1" w:rsidRPr="00A80293" w:rsidRDefault="00213CF1" w:rsidP="00213CF1">
      <w:pPr>
        <w:pStyle w:val="Notedebasdepage"/>
        <w:rPr>
          <w:sz w:val="20"/>
          <w:szCs w:val="20"/>
          <w:lang w:val="fr-FR"/>
        </w:rPr>
      </w:pPr>
      <w:r w:rsidRPr="00A80293">
        <w:rPr>
          <w:rStyle w:val="Marquenotebasdepage"/>
          <w:sz w:val="20"/>
          <w:szCs w:val="20"/>
        </w:rPr>
        <w:footnoteRef/>
      </w:r>
      <w:r w:rsidRPr="00A80293">
        <w:rPr>
          <w:sz w:val="20"/>
          <w:szCs w:val="20"/>
        </w:rPr>
        <w:t xml:space="preserve"> </w:t>
      </w:r>
      <w:hyperlink r:id="rId2" w:history="1">
        <w:r w:rsidRPr="00A80293">
          <w:rPr>
            <w:rStyle w:val="Lienhypertexte"/>
            <w:rFonts w:eastAsia="Times New Roman"/>
            <w:sz w:val="20"/>
            <w:szCs w:val="20"/>
          </w:rPr>
          <w:t>律</w:t>
        </w:r>
        <w:r w:rsidRPr="00A80293">
          <w:rPr>
            <w:rStyle w:val="Lienhypertexte"/>
            <w:rFonts w:eastAsia="Times New Roman"/>
            <w:sz w:val="20"/>
            <w:szCs w:val="20"/>
          </w:rPr>
          <w:t>/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l</w:t>
        </w:r>
        <w:r w:rsidRPr="00A80293">
          <w:rPr>
            <w:rStyle w:val="Lienhypertexte"/>
            <w:rFonts w:eastAsia="Times New Roman"/>
            <w:sz w:val="20"/>
            <w:szCs w:val="20"/>
          </w:rPr>
          <w:t>ü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25 | 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Fanzui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zishou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</w:t>
        </w:r>
        <w:r w:rsidRPr="00A80293">
          <w:rPr>
            <w:rStyle w:val="Lienhypertexte"/>
            <w:rFonts w:eastAsia="Times New Roman"/>
            <w:sz w:val="20"/>
            <w:szCs w:val="20"/>
          </w:rPr>
          <w:t>犯罪自首</w:t>
        </w:r>
      </w:hyperlink>
    </w:p>
  </w:footnote>
  <w:footnote w:id="3">
    <w:p w14:paraId="55421F02" w14:textId="77777777" w:rsidR="00213CF1" w:rsidRPr="00A80293" w:rsidRDefault="00213CF1" w:rsidP="00213CF1">
      <w:pPr>
        <w:pStyle w:val="Notedebasdepage"/>
        <w:rPr>
          <w:sz w:val="20"/>
          <w:szCs w:val="20"/>
          <w:lang w:val="fr-FR"/>
        </w:rPr>
      </w:pPr>
      <w:r w:rsidRPr="00A80293">
        <w:rPr>
          <w:rStyle w:val="Marquenotebasdepage"/>
          <w:sz w:val="20"/>
          <w:szCs w:val="20"/>
        </w:rPr>
        <w:footnoteRef/>
      </w:r>
      <w:r w:rsidRPr="00A80293">
        <w:rPr>
          <w:sz w:val="20"/>
          <w:szCs w:val="20"/>
        </w:rPr>
        <w:t xml:space="preserve"> </w:t>
      </w:r>
      <w:hyperlink r:id="rId3" w:history="1">
        <w:r w:rsidRPr="00A80293">
          <w:rPr>
            <w:rStyle w:val="Lienhypertexte"/>
            <w:rFonts w:eastAsia="Times New Roman"/>
            <w:sz w:val="20"/>
            <w:szCs w:val="20"/>
          </w:rPr>
          <w:t>律</w:t>
        </w:r>
        <w:r w:rsidRPr="00A80293">
          <w:rPr>
            <w:rStyle w:val="Lienhypertexte"/>
            <w:rFonts w:eastAsia="Times New Roman"/>
            <w:sz w:val="20"/>
            <w:szCs w:val="20"/>
          </w:rPr>
          <w:t>/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l</w:t>
        </w:r>
        <w:r w:rsidRPr="00A80293">
          <w:rPr>
            <w:rStyle w:val="Lienhypertexte"/>
            <w:rFonts w:eastAsia="Times New Roman"/>
            <w:sz w:val="20"/>
            <w:szCs w:val="20"/>
          </w:rPr>
          <w:t>ü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409 | 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Guansi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churu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</w:t>
        </w:r>
        <w:proofErr w:type="spellStart"/>
        <w:r w:rsidRPr="00A80293">
          <w:rPr>
            <w:rStyle w:val="Lienhypertexte"/>
            <w:rFonts w:eastAsia="Times New Roman"/>
            <w:sz w:val="20"/>
            <w:szCs w:val="20"/>
          </w:rPr>
          <w:t>renzui</w:t>
        </w:r>
        <w:proofErr w:type="spellEnd"/>
        <w:r w:rsidRPr="00A80293">
          <w:rPr>
            <w:rStyle w:val="Lienhypertexte"/>
            <w:rFonts w:eastAsia="Times New Roman"/>
            <w:sz w:val="20"/>
            <w:szCs w:val="20"/>
          </w:rPr>
          <w:t xml:space="preserve"> </w:t>
        </w:r>
        <w:r w:rsidRPr="00A80293">
          <w:rPr>
            <w:rStyle w:val="Lienhypertexte"/>
            <w:rFonts w:eastAsia="Times New Roman"/>
            <w:sz w:val="20"/>
            <w:szCs w:val="20"/>
          </w:rPr>
          <w:t>官司出入人罪</w:t>
        </w:r>
      </w:hyperlink>
    </w:p>
  </w:footnote>
  <w:footnote w:id="4">
    <w:p w14:paraId="64AC8630" w14:textId="77777777" w:rsidR="00213CF1" w:rsidRPr="00A80293" w:rsidRDefault="00213CF1" w:rsidP="00213CF1">
      <w:pPr>
        <w:pStyle w:val="NormalWeb"/>
        <w:spacing w:before="0" w:beforeAutospacing="0" w:after="0" w:afterAutospacing="0"/>
      </w:pPr>
      <w:r w:rsidRPr="00A80293">
        <w:rPr>
          <w:rStyle w:val="Marquenotebasdepage"/>
        </w:rPr>
        <w:footnoteRef/>
      </w:r>
      <w:r w:rsidRPr="00A80293">
        <w:t xml:space="preserve"> </w:t>
      </w:r>
      <w:hyperlink r:id="rId4" w:history="1">
        <w:r w:rsidRPr="00A80293">
          <w:rPr>
            <w:rStyle w:val="Lienhypertexte"/>
          </w:rPr>
          <w:t>律</w:t>
        </w:r>
        <w:r w:rsidRPr="00A80293">
          <w:rPr>
            <w:rStyle w:val="Lienhypertexte"/>
          </w:rPr>
          <w:t>/</w:t>
        </w:r>
        <w:proofErr w:type="spellStart"/>
        <w:r w:rsidRPr="00A80293">
          <w:rPr>
            <w:rStyle w:val="Lienhypertexte"/>
          </w:rPr>
          <w:t>lü</w:t>
        </w:r>
        <w:proofErr w:type="spellEnd"/>
        <w:r w:rsidRPr="00A80293">
          <w:rPr>
            <w:rStyle w:val="Lienhypertexte"/>
          </w:rPr>
          <w:t xml:space="preserve"> 28 | Tongliao fan </w:t>
        </w:r>
        <w:proofErr w:type="spellStart"/>
        <w:r w:rsidRPr="00A80293">
          <w:rPr>
            <w:rStyle w:val="Lienhypertexte"/>
          </w:rPr>
          <w:t>gongzui</w:t>
        </w:r>
        <w:proofErr w:type="spellEnd"/>
        <w:r w:rsidRPr="00A80293">
          <w:rPr>
            <w:rStyle w:val="Lienhypertexte"/>
          </w:rPr>
          <w:t xml:space="preserve"> </w:t>
        </w:r>
        <w:proofErr w:type="spellStart"/>
        <w:r w:rsidRPr="00A80293">
          <w:rPr>
            <w:rStyle w:val="Lienhypertexte"/>
          </w:rPr>
          <w:t>同僚犯公罪</w:t>
        </w:r>
        <w:proofErr w:type="spellEnd"/>
      </w:hyperlink>
    </w:p>
    <w:p w14:paraId="49A4BFF2" w14:textId="77777777" w:rsidR="00213CF1" w:rsidRPr="00A80293" w:rsidRDefault="00213CF1" w:rsidP="00213CF1">
      <w:pPr>
        <w:pStyle w:val="Notedebasdepage"/>
        <w:rPr>
          <w:sz w:val="20"/>
          <w:szCs w:val="20"/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F1"/>
    <w:rsid w:val="00213CF1"/>
    <w:rsid w:val="00450AF3"/>
    <w:rsid w:val="00563BEB"/>
    <w:rsid w:val="00700937"/>
    <w:rsid w:val="00A523BA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313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F1"/>
    <w:pPr>
      <w:spacing w:after="200"/>
    </w:pPr>
    <w:rPr>
      <w:rFonts w:ascii="Garamond 3" w:hAnsiTheme="minorHAnsi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F1"/>
    <w:pPr>
      <w:spacing w:before="100" w:beforeAutospacing="1" w:after="100" w:afterAutospacing="1"/>
    </w:pPr>
    <w:rPr>
      <w:rFonts w:ascii="Times" w:hAnsi="Times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213CF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13CF1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3CF1"/>
    <w:rPr>
      <w:rFonts w:ascii="Garamond 3" w:hAnsiTheme="minorHAnsi"/>
      <w:lang w:val="en-US"/>
    </w:rPr>
  </w:style>
  <w:style w:type="character" w:styleId="Marquenotebasdepage">
    <w:name w:val="footnote reference"/>
    <w:basedOn w:val="Policepardfaut"/>
    <w:uiPriority w:val="99"/>
    <w:unhideWhenUsed/>
    <w:rsid w:val="00213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F1"/>
    <w:pPr>
      <w:spacing w:after="200"/>
    </w:pPr>
    <w:rPr>
      <w:rFonts w:ascii="Garamond 3" w:hAnsiTheme="minorHAnsi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F1"/>
    <w:pPr>
      <w:spacing w:before="100" w:beforeAutospacing="1" w:after="100" w:afterAutospacing="1"/>
    </w:pPr>
    <w:rPr>
      <w:rFonts w:ascii="Times" w:hAnsi="Times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213CF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13CF1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3CF1"/>
    <w:rPr>
      <w:rFonts w:ascii="Garamond 3" w:hAnsiTheme="minorHAnsi"/>
      <w:lang w:val="en-US"/>
    </w:rPr>
  </w:style>
  <w:style w:type="character" w:styleId="Marquenotebasdepage">
    <w:name w:val="footnote reference"/>
    <w:basedOn w:val="Policepardfaut"/>
    <w:uiPriority w:val="99"/>
    <w:unhideWhenUsed/>
    <w:rsid w:val="00213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sc.chineselegalculture.org/eC/DQLL_1740/5.6.15.409" TargetMode="External"/><Relationship Id="rId4" Type="http://schemas.openxmlformats.org/officeDocument/2006/relationships/hyperlink" Target="http://lsc.chineselegalculture.org/eC/DQLL_1740/5.1.2.28" TargetMode="External"/><Relationship Id="rId1" Type="http://schemas.openxmlformats.org/officeDocument/2006/relationships/hyperlink" Target="http://lsc.chineselegalculture.org/eC/DQLL_1740/5.1.2.30" TargetMode="External"/><Relationship Id="rId2" Type="http://schemas.openxmlformats.org/officeDocument/2006/relationships/hyperlink" Target="http://lsc.chineselegalculture.org/eC/DQLL_1740/5.1.2.2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2261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dcterms:created xsi:type="dcterms:W3CDTF">2016-12-03T16:35:00Z</dcterms:created>
  <dcterms:modified xsi:type="dcterms:W3CDTF">2016-12-03T16:36:00Z</dcterms:modified>
</cp:coreProperties>
</file>