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A0143" w:rsidRPr="00F160DE" w:rsidRDefault="00BA0143" w:rsidP="00BA014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>
        <w:fldChar w:fldCharType="begin"/>
      </w:r>
      <w:r>
        <w:instrText xml:space="preserve"> HYPERLINK "http://lsc.chineselegalculture.org/eC/DQLL_1740/5.1.2.28" </w:instrText>
      </w:r>
      <w:r>
        <w:fldChar w:fldCharType="separate"/>
      </w:r>
      <w:r w:rsidRPr="00F160DE">
        <w:rPr>
          <w:rStyle w:val="Lienhypertexte"/>
          <w:sz w:val="24"/>
          <w:szCs w:val="24"/>
        </w:rPr>
        <w:t>律</w:t>
      </w:r>
      <w:r w:rsidRPr="00F160DE">
        <w:rPr>
          <w:rStyle w:val="Lienhypertexte"/>
          <w:sz w:val="24"/>
          <w:szCs w:val="24"/>
        </w:rPr>
        <w:t>/</w:t>
      </w:r>
      <w:proofErr w:type="spellStart"/>
      <w:r w:rsidRPr="00F160DE">
        <w:rPr>
          <w:rStyle w:val="Lienhypertexte"/>
          <w:sz w:val="24"/>
          <w:szCs w:val="24"/>
        </w:rPr>
        <w:t>lü</w:t>
      </w:r>
      <w:proofErr w:type="spellEnd"/>
      <w:r w:rsidRPr="00F160DE">
        <w:rPr>
          <w:rStyle w:val="Lienhypertexte"/>
          <w:sz w:val="24"/>
          <w:szCs w:val="24"/>
        </w:rPr>
        <w:t xml:space="preserve"> 28 | Tongliao fan </w:t>
      </w:r>
      <w:proofErr w:type="spellStart"/>
      <w:r w:rsidRPr="00F160DE">
        <w:rPr>
          <w:rStyle w:val="Lienhypertexte"/>
          <w:sz w:val="24"/>
          <w:szCs w:val="24"/>
        </w:rPr>
        <w:t>gongzui</w:t>
      </w:r>
      <w:proofErr w:type="spellEnd"/>
      <w:r w:rsidRPr="00F160DE">
        <w:rPr>
          <w:rStyle w:val="Lienhypertexte"/>
          <w:sz w:val="24"/>
          <w:szCs w:val="24"/>
        </w:rPr>
        <w:t xml:space="preserve"> </w:t>
      </w:r>
      <w:proofErr w:type="spellStart"/>
      <w:r w:rsidRPr="00F160DE">
        <w:rPr>
          <w:rStyle w:val="Lienhypertexte"/>
          <w:sz w:val="24"/>
          <w:szCs w:val="24"/>
        </w:rPr>
        <w:t>同僚犯公罪</w:t>
      </w:r>
      <w:proofErr w:type="spellEnd"/>
      <w:r>
        <w:rPr>
          <w:rStyle w:val="Lienhypertexte"/>
          <w:sz w:val="24"/>
          <w:szCs w:val="24"/>
        </w:rPr>
        <w:fldChar w:fldCharType="end"/>
      </w:r>
    </w:p>
    <w:bookmarkEnd w:id="0"/>
    <w:p w:rsidR="00BA0143" w:rsidRPr="00F160DE" w:rsidRDefault="00BA0143" w:rsidP="00BA0143">
      <w:pPr>
        <w:pStyle w:val="NormalWeb"/>
        <w:jc w:val="both"/>
        <w:rPr>
          <w:sz w:val="24"/>
          <w:szCs w:val="24"/>
        </w:rPr>
      </w:pPr>
      <w:r w:rsidRPr="00F160DE">
        <w:rPr>
          <w:sz w:val="24"/>
          <w:szCs w:val="24"/>
        </w:rPr>
        <w:t>凡同僚犯公罪者，</w:t>
      </w:r>
      <w:r w:rsidRPr="00F160DE">
        <w:rPr>
          <w:color w:val="3370FF"/>
          <w:sz w:val="24"/>
          <w:szCs w:val="24"/>
          <w:vertAlign w:val="subscript"/>
        </w:rPr>
        <w:t>謂同僚官吏連署文案，判斷公事差錯，而無私曲者。</w:t>
      </w:r>
      <w:r w:rsidRPr="00F160DE">
        <w:rPr>
          <w:sz w:val="24"/>
          <w:szCs w:val="24"/>
        </w:rPr>
        <w:t>並以吏典為首，首領官減吏典一等，佐貳官減首領官一等，長官減佐貳官一等。</w:t>
      </w:r>
      <w:r w:rsidRPr="00F160DE">
        <w:rPr>
          <w:color w:val="3370FF"/>
          <w:sz w:val="24"/>
          <w:szCs w:val="24"/>
          <w:vertAlign w:val="subscript"/>
        </w:rPr>
        <w:t>官</w:t>
      </w:r>
      <w:r w:rsidRPr="00F160DE">
        <w:rPr>
          <w:rFonts w:eastAsia="儷宋 Pro" w:cs="儷宋 Pro"/>
          <w:color w:val="3370FF"/>
          <w:sz w:val="24"/>
          <w:szCs w:val="24"/>
          <w:vertAlign w:val="subscript"/>
        </w:rPr>
        <w:t>內</w:t>
      </w:r>
      <w:r w:rsidRPr="00F160DE">
        <w:rPr>
          <w:color w:val="3370FF"/>
          <w:sz w:val="24"/>
          <w:szCs w:val="24"/>
          <w:vertAlign w:val="subscript"/>
        </w:rPr>
        <w:t>如有缺員，亦依四等遞減科罪。本衙門所設官吏無四等者，止准見設員數遞減。</w:t>
      </w:r>
      <w:r w:rsidRPr="00F160DE">
        <w:rPr>
          <w:sz w:val="24"/>
          <w:szCs w:val="24"/>
        </w:rPr>
        <w:t>若同僚官一人有私，自依故出入人罪</w:t>
      </w:r>
      <w:r w:rsidRPr="00F160DE">
        <w:rPr>
          <w:color w:val="3370FF"/>
          <w:sz w:val="24"/>
          <w:szCs w:val="24"/>
          <w:vertAlign w:val="subscript"/>
        </w:rPr>
        <w:t>私罪</w:t>
      </w:r>
      <w:r w:rsidRPr="00F160DE">
        <w:rPr>
          <w:sz w:val="24"/>
          <w:szCs w:val="24"/>
        </w:rPr>
        <w:t>論，其餘不知情者，止依失出入人罪</w:t>
      </w:r>
      <w:r w:rsidRPr="00F160DE">
        <w:rPr>
          <w:color w:val="3370FF"/>
          <w:sz w:val="24"/>
          <w:szCs w:val="24"/>
          <w:vertAlign w:val="subscript"/>
        </w:rPr>
        <w:t>公罪</w:t>
      </w:r>
      <w:r w:rsidRPr="00F160DE">
        <w:rPr>
          <w:sz w:val="24"/>
          <w:szCs w:val="24"/>
        </w:rPr>
        <w:t>。論。</w:t>
      </w:r>
      <w:r w:rsidRPr="00F160DE">
        <w:rPr>
          <w:color w:val="3370FF"/>
          <w:sz w:val="24"/>
          <w:szCs w:val="24"/>
          <w:vertAlign w:val="subscript"/>
        </w:rPr>
        <w:t>謂如同僚連署文案官吏五人，若一人有私，自依故出入人罪論，其餘四人雖連署文案，不知有私者，止依失出入人罪論，仍依四等遞減科罪。</w:t>
      </w:r>
    </w:p>
    <w:p w:rsidR="00BA0143" w:rsidRPr="00F160DE" w:rsidRDefault="00BA0143" w:rsidP="00BA0143">
      <w:pPr>
        <w:pStyle w:val="NormalWeb"/>
        <w:jc w:val="both"/>
        <w:rPr>
          <w:color w:val="3370FF"/>
          <w:sz w:val="24"/>
          <w:szCs w:val="24"/>
          <w:vertAlign w:val="subscript"/>
        </w:rPr>
      </w:pPr>
      <w:r w:rsidRPr="00F160DE">
        <w:rPr>
          <w:sz w:val="24"/>
          <w:szCs w:val="24"/>
        </w:rPr>
        <w:t>若</w:t>
      </w:r>
      <w:r w:rsidRPr="00F160DE">
        <w:rPr>
          <w:color w:val="3370FF"/>
          <w:sz w:val="24"/>
          <w:szCs w:val="24"/>
          <w:vertAlign w:val="subscript"/>
        </w:rPr>
        <w:t>下司</w:t>
      </w:r>
      <w:r w:rsidRPr="00F160DE">
        <w:rPr>
          <w:sz w:val="24"/>
          <w:szCs w:val="24"/>
        </w:rPr>
        <w:t>申上司，</w:t>
      </w:r>
      <w:r w:rsidRPr="00A10D96">
        <w:rPr>
          <w:color w:val="3370FF"/>
          <w:sz w:val="28"/>
          <w:szCs w:val="28"/>
          <w:vertAlign w:val="subscript"/>
        </w:rPr>
        <w:t>事有差誤，上司</w:t>
      </w:r>
      <w:r w:rsidRPr="00F160DE">
        <w:rPr>
          <w:sz w:val="24"/>
          <w:szCs w:val="24"/>
        </w:rPr>
        <w:t>不覺失錯准行者，各遞減下司官吏罪二等。</w:t>
      </w:r>
      <w:r w:rsidRPr="00A10D96">
        <w:rPr>
          <w:color w:val="3370FF"/>
          <w:sz w:val="28"/>
          <w:szCs w:val="28"/>
          <w:vertAlign w:val="subscript"/>
        </w:rPr>
        <w:t>謂如縣申州，州申府，府申布政司之類。</w:t>
      </w:r>
      <w:r w:rsidRPr="00F160DE">
        <w:rPr>
          <w:sz w:val="24"/>
          <w:szCs w:val="24"/>
        </w:rPr>
        <w:t>若上司行下，</w:t>
      </w:r>
      <w:r w:rsidRPr="00F160DE">
        <w:rPr>
          <w:color w:val="3370FF"/>
          <w:sz w:val="24"/>
          <w:szCs w:val="24"/>
          <w:vertAlign w:val="subscript"/>
        </w:rPr>
        <w:t>事有差誤，</w:t>
      </w:r>
      <w:r w:rsidRPr="00F160DE">
        <w:rPr>
          <w:sz w:val="24"/>
          <w:szCs w:val="24"/>
        </w:rPr>
        <w:t>而所屬依錯施行者，各遞減上司官吏罪三等。</w:t>
      </w:r>
      <w:r w:rsidRPr="00F160DE">
        <w:rPr>
          <w:color w:val="3370FF"/>
          <w:sz w:val="24"/>
          <w:szCs w:val="24"/>
          <w:vertAlign w:val="subscript"/>
        </w:rPr>
        <w:t>謂如布政司行府，府行州，州行縣之類。</w:t>
      </w:r>
      <w:r w:rsidRPr="00F160DE">
        <w:rPr>
          <w:sz w:val="24"/>
          <w:szCs w:val="24"/>
        </w:rPr>
        <w:t>亦各以吏典為首。</w:t>
      </w:r>
      <w:r>
        <w:rPr>
          <w:color w:val="3370FF"/>
          <w:sz w:val="24"/>
          <w:szCs w:val="24"/>
          <w:vertAlign w:val="subscript"/>
        </w:rPr>
        <w:t>首領、佐貳、長官，依上減之</w:t>
      </w: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BA0143" w:rsidRPr="00C06728" w:rsidRDefault="00BA0143" w:rsidP="00BA0143">
      <w:pPr>
        <w:pStyle w:val="NormalWeb"/>
        <w:spacing w:before="0" w:beforeAutospacing="0" w:after="0" w:afterAutospacing="0"/>
        <w:jc w:val="both"/>
        <w:rPr>
          <w:b/>
          <w:sz w:val="24"/>
          <w:szCs w:val="24"/>
        </w:rPr>
      </w:pPr>
      <w:r w:rsidRPr="00C06728">
        <w:rPr>
          <w:b/>
          <w:sz w:val="24"/>
          <w:szCs w:val="24"/>
        </w:rPr>
        <w:t xml:space="preserve">Collègues commettant </w:t>
      </w:r>
      <w:r>
        <w:rPr>
          <w:b/>
          <w:sz w:val="24"/>
          <w:szCs w:val="24"/>
        </w:rPr>
        <w:t xml:space="preserve">ensemble </w:t>
      </w:r>
      <w:r w:rsidRPr="00C06728">
        <w:rPr>
          <w:b/>
          <w:sz w:val="24"/>
          <w:szCs w:val="24"/>
        </w:rPr>
        <w:t>une faute de service</w:t>
      </w: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sz w:val="24"/>
          <w:szCs w:val="24"/>
        </w:rPr>
        <w:t xml:space="preserve">Pour tout cas de collègues commettant une faute de service </w:t>
      </w:r>
      <w:r w:rsidRPr="00A75DCF">
        <w:rPr>
          <w:color w:val="3366FF"/>
          <w:sz w:val="24"/>
          <w:szCs w:val="24"/>
        </w:rPr>
        <w:t xml:space="preserve">c’est-à-dire des fonctionnaires </w:t>
      </w:r>
      <w:r>
        <w:rPr>
          <w:color w:val="3366FF"/>
          <w:sz w:val="24"/>
          <w:szCs w:val="24"/>
        </w:rPr>
        <w:t xml:space="preserve">et </w:t>
      </w:r>
      <w:r w:rsidRPr="00A75DCF">
        <w:rPr>
          <w:color w:val="3366FF"/>
          <w:sz w:val="24"/>
          <w:szCs w:val="24"/>
        </w:rPr>
        <w:t xml:space="preserve">des commis </w:t>
      </w:r>
      <w:r>
        <w:rPr>
          <w:color w:val="3366FF"/>
          <w:sz w:val="24"/>
          <w:szCs w:val="24"/>
        </w:rPr>
        <w:t>d’un</w:t>
      </w:r>
      <w:r w:rsidRPr="00A75DCF">
        <w:rPr>
          <w:color w:val="3366FF"/>
          <w:sz w:val="24"/>
          <w:szCs w:val="24"/>
        </w:rPr>
        <w:t xml:space="preserve"> même service qui </w:t>
      </w:r>
      <w:r>
        <w:rPr>
          <w:color w:val="3366FF"/>
          <w:sz w:val="24"/>
          <w:szCs w:val="24"/>
        </w:rPr>
        <w:t>ont l’un après l’autre signé un document, rendu un jugement sur</w:t>
      </w:r>
      <w:r w:rsidRPr="00A75DCF">
        <w:rPr>
          <w:color w:val="3366FF"/>
          <w:sz w:val="24"/>
          <w:szCs w:val="24"/>
        </w:rPr>
        <w:t xml:space="preserve"> </w:t>
      </w:r>
      <w:r>
        <w:rPr>
          <w:color w:val="3366FF"/>
          <w:sz w:val="24"/>
          <w:szCs w:val="24"/>
        </w:rPr>
        <w:t>une affaire publique</w:t>
      </w:r>
      <w:r w:rsidRPr="00A75DCF">
        <w:rPr>
          <w:color w:val="3366FF"/>
          <w:sz w:val="24"/>
          <w:szCs w:val="24"/>
        </w:rPr>
        <w:t xml:space="preserve">, </w:t>
      </w:r>
      <w:r>
        <w:rPr>
          <w:color w:val="3366FF"/>
          <w:sz w:val="24"/>
          <w:szCs w:val="24"/>
        </w:rPr>
        <w:t xml:space="preserve">en commettant des erreurs, </w:t>
      </w:r>
      <w:r w:rsidRPr="00A75DCF">
        <w:rPr>
          <w:color w:val="3366FF"/>
          <w:sz w:val="24"/>
          <w:szCs w:val="24"/>
        </w:rPr>
        <w:t xml:space="preserve">sans qu’il y ait </w:t>
      </w:r>
      <w:r w:rsidRPr="00F931A6">
        <w:rPr>
          <w:color w:val="FF0000"/>
          <w:sz w:val="24"/>
          <w:szCs w:val="24"/>
        </w:rPr>
        <w:t xml:space="preserve">eu </w:t>
      </w:r>
      <w:r>
        <w:rPr>
          <w:color w:val="FF0000"/>
          <w:sz w:val="24"/>
          <w:szCs w:val="24"/>
        </w:rPr>
        <w:t>tromperie ni prise d’intérêt</w:t>
      </w:r>
      <w:r w:rsidRPr="00F931A6">
        <w:rPr>
          <w:color w:val="FF0000"/>
          <w:sz w:val="24"/>
          <w:szCs w:val="24"/>
        </w:rPr>
        <w:t xml:space="preserve"> (</w:t>
      </w:r>
      <w:r>
        <w:rPr>
          <w:rFonts w:hint="eastAsia"/>
          <w:color w:val="FF0000"/>
          <w:sz w:val="24"/>
          <w:szCs w:val="24"/>
          <w:lang w:eastAsia="zh-TW"/>
        </w:rPr>
        <w:t>私曲</w:t>
      </w:r>
      <w:r w:rsidRPr="00F931A6">
        <w:rPr>
          <w:color w:val="FF0000"/>
          <w:sz w:val="24"/>
          <w:szCs w:val="24"/>
          <w:lang w:eastAsia="zh-TW"/>
        </w:rPr>
        <w:t>)</w:t>
      </w:r>
      <w:r w:rsidRPr="00F931A6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c’est toujours le commis aux écritures ou clerc qui est tenu pour le coupable principal (</w:t>
      </w:r>
      <w:proofErr w:type="spellStart"/>
      <w:r>
        <w:rPr>
          <w:sz w:val="24"/>
          <w:szCs w:val="24"/>
        </w:rPr>
        <w:t>weishou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TW"/>
        </w:rPr>
        <w:t>為首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</w:rPr>
        <w:t>, le chef du personnel (</w:t>
      </w:r>
      <w:proofErr w:type="spellStart"/>
      <w:r>
        <w:rPr>
          <w:sz w:val="24"/>
          <w:szCs w:val="24"/>
        </w:rPr>
        <w:t>shouling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</w:t>
      </w:r>
      <w:proofErr w:type="spellEnd"/>
      <w:r>
        <w:rPr>
          <w:rFonts w:hint="eastAsia"/>
          <w:sz w:val="24"/>
          <w:szCs w:val="24"/>
          <w:lang w:eastAsia="zh-TW"/>
        </w:rPr>
        <w:t>首領官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</w:rPr>
        <w:t xml:space="preserve"> bénéficie d’une atténuation d’un degré [de peine] par rapport au commis ou au clerc, l’adjoint du directeur de service (</w:t>
      </w:r>
      <w:proofErr w:type="spellStart"/>
      <w:r>
        <w:rPr>
          <w:sz w:val="24"/>
          <w:szCs w:val="24"/>
        </w:rPr>
        <w:t>zuoer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60DE">
        <w:rPr>
          <w:sz w:val="24"/>
          <w:szCs w:val="24"/>
        </w:rPr>
        <w:t>佐貳官</w:t>
      </w:r>
      <w:proofErr w:type="spellEnd"/>
      <w:r>
        <w:rPr>
          <w:sz w:val="24"/>
          <w:szCs w:val="24"/>
        </w:rPr>
        <w:t>) bénéficie d’une atténuation d’un degré par rapport au chef du personnel, et le directeur du service (</w:t>
      </w:r>
      <w:proofErr w:type="spellStart"/>
      <w:r>
        <w:rPr>
          <w:sz w:val="24"/>
          <w:szCs w:val="24"/>
        </w:rPr>
        <w:t>zhangguan</w:t>
      </w:r>
      <w:proofErr w:type="spellEnd"/>
      <w:r>
        <w:rPr>
          <w:rFonts w:hint="eastAsia"/>
          <w:sz w:val="24"/>
          <w:szCs w:val="24"/>
          <w:lang w:eastAsia="zh-TW"/>
        </w:rPr>
        <w:t>長官</w:t>
      </w:r>
      <w:proofErr w:type="spellStart"/>
      <w:r>
        <w:rPr>
          <w:sz w:val="24"/>
          <w:szCs w:val="24"/>
        </w:rPr>
        <w:t>Hucker</w:t>
      </w:r>
      <w:proofErr w:type="spellEnd"/>
      <w:r>
        <w:rPr>
          <w:sz w:val="24"/>
          <w:szCs w:val="24"/>
        </w:rPr>
        <w:t xml:space="preserve"> §143) bénéficie d’une atténuation d’un degré par rapport à son adjoint. </w:t>
      </w:r>
      <w:r w:rsidRPr="00736E16">
        <w:rPr>
          <w:color w:val="3366FF"/>
          <w:sz w:val="24"/>
          <w:szCs w:val="24"/>
        </w:rPr>
        <w:t xml:space="preserve">Si </w:t>
      </w:r>
      <w:r>
        <w:rPr>
          <w:color w:val="3366FF"/>
          <w:sz w:val="24"/>
          <w:szCs w:val="24"/>
        </w:rPr>
        <w:t>dans ce</w:t>
      </w:r>
      <w:r w:rsidRPr="00736E16">
        <w:rPr>
          <w:color w:val="3366FF"/>
          <w:sz w:val="24"/>
          <w:szCs w:val="24"/>
        </w:rPr>
        <w:t xml:space="preserve"> service </w:t>
      </w:r>
      <w:r>
        <w:rPr>
          <w:color w:val="3366FF"/>
          <w:sz w:val="24"/>
          <w:szCs w:val="24"/>
        </w:rPr>
        <w:t>certains emplois sont vacants</w:t>
      </w:r>
      <w:r w:rsidRPr="00736E16">
        <w:rPr>
          <w:color w:val="3366FF"/>
          <w:sz w:val="24"/>
          <w:szCs w:val="24"/>
        </w:rPr>
        <w:t xml:space="preserve">, il faut quand  même </w:t>
      </w:r>
      <w:r>
        <w:rPr>
          <w:color w:val="3366FF"/>
          <w:sz w:val="24"/>
          <w:szCs w:val="24"/>
        </w:rPr>
        <w:t xml:space="preserve">calculer la sentence en </w:t>
      </w:r>
      <w:r w:rsidRPr="008855F5">
        <w:rPr>
          <w:color w:val="FF0000"/>
          <w:sz w:val="24"/>
          <w:szCs w:val="24"/>
        </w:rPr>
        <w:t xml:space="preserve">proportionnant les </w:t>
      </w:r>
      <w:r>
        <w:rPr>
          <w:color w:val="FF0000"/>
          <w:sz w:val="24"/>
          <w:szCs w:val="24"/>
        </w:rPr>
        <w:t>diminutions</w:t>
      </w:r>
      <w:r w:rsidRPr="008855F5">
        <w:rPr>
          <w:color w:val="FF0000"/>
          <w:sz w:val="24"/>
          <w:szCs w:val="24"/>
        </w:rPr>
        <w:t xml:space="preserve"> de peines</w:t>
      </w:r>
      <w:r>
        <w:rPr>
          <w:color w:val="3366FF"/>
          <w:sz w:val="24"/>
          <w:szCs w:val="24"/>
        </w:rPr>
        <w:t xml:space="preserve"> </w:t>
      </w:r>
      <w:r w:rsidRPr="00736E16">
        <w:rPr>
          <w:color w:val="3366FF"/>
          <w:sz w:val="24"/>
          <w:szCs w:val="24"/>
        </w:rPr>
        <w:t>selon les quatre degrés de la fonction publique</w:t>
      </w:r>
      <w:r w:rsidRPr="00736E16">
        <w:rPr>
          <w:rStyle w:val="Marquenotebasdepage"/>
          <w:color w:val="3366FF"/>
          <w:sz w:val="24"/>
          <w:szCs w:val="24"/>
        </w:rPr>
        <w:footnoteReference w:id="1"/>
      </w:r>
      <w:r w:rsidRPr="00736E16">
        <w:rPr>
          <w:color w:val="3366FF"/>
          <w:sz w:val="24"/>
          <w:szCs w:val="24"/>
        </w:rPr>
        <w:t xml:space="preserve">. Si </w:t>
      </w:r>
      <w:r>
        <w:rPr>
          <w:color w:val="3366FF"/>
          <w:sz w:val="24"/>
          <w:szCs w:val="24"/>
          <w:lang w:eastAsia="zh-CN"/>
        </w:rPr>
        <w:t>dans ce service les fonctionnaires et commis de ce service n’ont pas été répartis selon les quatre degrés</w:t>
      </w:r>
      <w:r w:rsidRPr="00736E16">
        <w:rPr>
          <w:color w:val="3366FF"/>
          <w:sz w:val="24"/>
          <w:szCs w:val="24"/>
        </w:rPr>
        <w:t xml:space="preserve">, </w:t>
      </w:r>
      <w:r>
        <w:rPr>
          <w:color w:val="3366FF"/>
          <w:sz w:val="24"/>
          <w:szCs w:val="24"/>
        </w:rPr>
        <w:t xml:space="preserve">ne se fonder que sur les quotas institués pour </w:t>
      </w:r>
      <w:r>
        <w:rPr>
          <w:color w:val="FF0000"/>
          <w:sz w:val="24"/>
          <w:szCs w:val="24"/>
        </w:rPr>
        <w:t>proportionner les atténuations de peine</w:t>
      </w:r>
      <w:r>
        <w:rPr>
          <w:color w:val="3366FF"/>
          <w:sz w:val="24"/>
          <w:szCs w:val="24"/>
        </w:rPr>
        <w:t xml:space="preserve"> </w:t>
      </w:r>
      <w:r w:rsidRPr="00F931A6">
        <w:rPr>
          <w:sz w:val="24"/>
          <w:szCs w:val="24"/>
        </w:rPr>
        <w:t>(</w:t>
      </w:r>
      <w:proofErr w:type="spellStart"/>
      <w:r w:rsidRPr="00F931A6">
        <w:rPr>
          <w:sz w:val="24"/>
          <w:szCs w:val="24"/>
        </w:rPr>
        <w:t>dijian</w:t>
      </w:r>
      <w:proofErr w:type="spellEnd"/>
      <w:r w:rsidRPr="00F931A6">
        <w:rPr>
          <w:rFonts w:hint="eastAsia"/>
          <w:sz w:val="24"/>
          <w:szCs w:val="24"/>
          <w:lang w:eastAsia="zh-TW"/>
        </w:rPr>
        <w:t>遞減</w:t>
      </w:r>
      <w:r w:rsidRPr="00F931A6">
        <w:rPr>
          <w:sz w:val="24"/>
          <w:szCs w:val="24"/>
          <w:lang w:eastAsia="zh-TW"/>
        </w:rPr>
        <w:t>)</w:t>
      </w:r>
      <w:r>
        <w:rPr>
          <w:rFonts w:hint="eastAsia"/>
          <w:color w:val="3366FF"/>
          <w:sz w:val="24"/>
          <w:szCs w:val="24"/>
          <w:lang w:eastAsia="zh-TW"/>
        </w:rPr>
        <w:t xml:space="preserve"> </w:t>
      </w:r>
      <w:r w:rsidRPr="00736E16">
        <w:rPr>
          <w:color w:val="3366FF"/>
          <w:sz w:val="24"/>
          <w:szCs w:val="24"/>
        </w:rPr>
        <w:t>.</w:t>
      </w:r>
      <w:r>
        <w:rPr>
          <w:sz w:val="24"/>
          <w:szCs w:val="24"/>
        </w:rPr>
        <w:t xml:space="preserve"> Si parmi les collègues mis en cause, l’un d’entre eux a commis une faute personnelle, le condamner en vertu de l’article «  acquitter ou inculper à tort intentionnellement » </w:t>
      </w:r>
      <w:r w:rsidRPr="00736E16">
        <w:rPr>
          <w:color w:val="3366FF"/>
          <w:sz w:val="24"/>
          <w:szCs w:val="24"/>
        </w:rPr>
        <w:t>pour « faute personnelle »</w:t>
      </w:r>
      <w:r>
        <w:rPr>
          <w:sz w:val="24"/>
          <w:szCs w:val="24"/>
        </w:rPr>
        <w:t>, quant aux autres qui n’étaient pas au courant, les condamner seulement pour avoir « acquitté ou inculpé à tort par erreur »</w:t>
      </w:r>
      <w:r>
        <w:rPr>
          <w:color w:val="3366FF"/>
          <w:sz w:val="24"/>
          <w:szCs w:val="24"/>
        </w:rPr>
        <w:t xml:space="preserve"> par « </w:t>
      </w:r>
      <w:r w:rsidRPr="00C06728">
        <w:rPr>
          <w:color w:val="3366FF"/>
          <w:sz w:val="24"/>
          <w:szCs w:val="24"/>
        </w:rPr>
        <w:t>faute de service ».</w:t>
      </w:r>
      <w:r>
        <w:rPr>
          <w:color w:val="3366FF"/>
          <w:sz w:val="24"/>
          <w:szCs w:val="24"/>
        </w:rPr>
        <w:t xml:space="preserve"> C’est-à-dire que lorsque des collègues signent un même document,  s’il y a cinq fonctionnaires et commis et qu’un seul d’entre eux a commis une faute personnelle, il est condamné pour avoir « acquitté ou inculpé à tort intentionnellement », tandis que les quatre autres bien qu’il aient signé le même document, parce </w:t>
      </w:r>
      <w:r w:rsidRPr="00110A7F">
        <w:rPr>
          <w:color w:val="FF0000"/>
          <w:sz w:val="24"/>
          <w:szCs w:val="24"/>
        </w:rPr>
        <w:t xml:space="preserve">qu’ils ne savaient pas qu’il y avait </w:t>
      </w:r>
      <w:r>
        <w:rPr>
          <w:color w:val="FF0000"/>
          <w:sz w:val="24"/>
          <w:szCs w:val="24"/>
        </w:rPr>
        <w:t>prise d’intérêt</w:t>
      </w:r>
      <w:r>
        <w:rPr>
          <w:color w:val="3366FF"/>
          <w:sz w:val="24"/>
          <w:szCs w:val="24"/>
        </w:rPr>
        <w:t>, ne sont condamnés que pour avoir « acquitté ou inculpé à tort par erreur », et c’est à ces quatre là que s’appliquent les cumuls de diminution selon les quatre degrés de la fonction publique.</w:t>
      </w: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0033CC">
        <w:rPr>
          <w:sz w:val="24"/>
          <w:szCs w:val="24"/>
        </w:rPr>
        <w:lastRenderedPageBreak/>
        <w:t>Lors</w:t>
      </w:r>
      <w:r>
        <w:rPr>
          <w:sz w:val="24"/>
          <w:szCs w:val="24"/>
        </w:rPr>
        <w:t xml:space="preserve">qu’une cour supérieure reçoit </w:t>
      </w:r>
      <w:r w:rsidRPr="00110A7F">
        <w:rPr>
          <w:color w:val="3366FF"/>
          <w:sz w:val="24"/>
          <w:szCs w:val="24"/>
        </w:rPr>
        <w:t>d’un</w:t>
      </w:r>
      <w:r w:rsidRPr="000033CC">
        <w:rPr>
          <w:color w:val="3366FF"/>
          <w:sz w:val="24"/>
          <w:szCs w:val="24"/>
        </w:rPr>
        <w:t>e cour inférieure</w:t>
      </w:r>
      <w:r>
        <w:rPr>
          <w:sz w:val="24"/>
          <w:szCs w:val="24"/>
        </w:rPr>
        <w:t xml:space="preserve"> un rapport </w:t>
      </w:r>
      <w:r w:rsidRPr="00110A7F">
        <w:rPr>
          <w:color w:val="3366FF"/>
          <w:sz w:val="24"/>
          <w:szCs w:val="24"/>
        </w:rPr>
        <w:t>comportant des erreurs</w:t>
      </w:r>
      <w:r>
        <w:rPr>
          <w:sz w:val="24"/>
          <w:szCs w:val="24"/>
        </w:rPr>
        <w:t xml:space="preserve">, et </w:t>
      </w:r>
      <w:r w:rsidRPr="00613BCC">
        <w:rPr>
          <w:color w:val="3366FF"/>
          <w:sz w:val="24"/>
          <w:szCs w:val="24"/>
        </w:rPr>
        <w:t>que la cour supérieure</w:t>
      </w:r>
      <w:r>
        <w:rPr>
          <w:sz w:val="24"/>
          <w:szCs w:val="24"/>
        </w:rPr>
        <w:t xml:space="preserve"> ne détecte pas ces erreurs et autorise la mise à exécution (</w:t>
      </w:r>
      <w:r>
        <w:rPr>
          <w:rFonts w:hint="eastAsia"/>
          <w:sz w:val="24"/>
          <w:szCs w:val="24"/>
          <w:lang w:eastAsia="zh-TW"/>
        </w:rPr>
        <w:t>准行</w:t>
      </w:r>
      <w:r>
        <w:rPr>
          <w:rFonts w:hint="eastAsia"/>
          <w:sz w:val="24"/>
          <w:szCs w:val="24"/>
          <w:lang w:eastAsia="zh-CN"/>
        </w:rPr>
        <w:t>)</w:t>
      </w:r>
      <w:r>
        <w:rPr>
          <w:sz w:val="24"/>
          <w:szCs w:val="24"/>
        </w:rPr>
        <w:t xml:space="preserve">, ses membres sont punis chacun de la même peine que les fonctionnaires et commis de la cour inférieure, atténuée graduellement de deux degrés. </w:t>
      </w:r>
      <w:r>
        <w:rPr>
          <w:color w:val="3366FF"/>
          <w:sz w:val="24"/>
          <w:szCs w:val="24"/>
        </w:rPr>
        <w:t>C’est-à-dire que le</w:t>
      </w:r>
      <w:r w:rsidRPr="00613BCC">
        <w:rPr>
          <w:color w:val="3366FF"/>
          <w:sz w:val="24"/>
          <w:szCs w:val="24"/>
        </w:rPr>
        <w:t xml:space="preserve"> district </w:t>
      </w:r>
      <w:r>
        <w:rPr>
          <w:color w:val="3366FF"/>
          <w:sz w:val="24"/>
          <w:szCs w:val="24"/>
        </w:rPr>
        <w:t>rapporte à</w:t>
      </w:r>
      <w:r w:rsidRPr="00613BCC">
        <w:rPr>
          <w:color w:val="3366FF"/>
          <w:sz w:val="24"/>
          <w:szCs w:val="24"/>
        </w:rPr>
        <w:t xml:space="preserve"> la sous-préfecture, </w:t>
      </w:r>
      <w:r>
        <w:rPr>
          <w:color w:val="3366FF"/>
          <w:sz w:val="24"/>
          <w:szCs w:val="24"/>
        </w:rPr>
        <w:t>qui rapporte</w:t>
      </w:r>
      <w:r w:rsidRPr="00613BCC">
        <w:rPr>
          <w:color w:val="3366FF"/>
          <w:sz w:val="24"/>
          <w:szCs w:val="24"/>
        </w:rPr>
        <w:t xml:space="preserve"> à la préfecture, </w:t>
      </w:r>
      <w:r>
        <w:rPr>
          <w:color w:val="3366FF"/>
          <w:sz w:val="24"/>
          <w:szCs w:val="24"/>
        </w:rPr>
        <w:t>qui rapporte</w:t>
      </w:r>
      <w:r w:rsidRPr="00613BCC">
        <w:rPr>
          <w:color w:val="3366FF"/>
          <w:sz w:val="24"/>
          <w:szCs w:val="24"/>
        </w:rPr>
        <w:t xml:space="preserve"> au Trésorier de la province</w:t>
      </w:r>
      <w:r>
        <w:rPr>
          <w:sz w:val="24"/>
          <w:szCs w:val="24"/>
        </w:rPr>
        <w:t xml:space="preserve">. Si une cour supérieure ordonne de mettre une mesure à exécution </w:t>
      </w:r>
      <w:r w:rsidRPr="00613BCC">
        <w:rPr>
          <w:color w:val="3366FF"/>
          <w:sz w:val="24"/>
          <w:szCs w:val="24"/>
        </w:rPr>
        <w:t>alors que l’affaire comporte des erreurs</w:t>
      </w:r>
      <w:r>
        <w:rPr>
          <w:sz w:val="24"/>
          <w:szCs w:val="24"/>
        </w:rPr>
        <w:t>, et que les instances subordonnées mettent en application la décision erronée, chacun est puni selon la peine des fonctionnaires et commis de l’instance supérieure, atténuée graduellement de trois degrés</w:t>
      </w:r>
      <w:r w:rsidRPr="00C27CCC">
        <w:rPr>
          <w:color w:val="3366FF"/>
          <w:sz w:val="24"/>
          <w:szCs w:val="24"/>
        </w:rPr>
        <w:t>, c’est-à-dire que le Trésorier provincial a donné l’ordre d’exécution à la préfecture, qui l’a transmis à la sous-préfecture, qui l’a transmis au district</w:t>
      </w:r>
      <w:r>
        <w:rPr>
          <w:sz w:val="24"/>
          <w:szCs w:val="24"/>
        </w:rPr>
        <w:t xml:space="preserve">, et chacun [a sa peine calculée] sur celle du commis aux écritures qui est tenu pour coupable principal </w:t>
      </w:r>
      <w:r w:rsidRPr="00C27CCC">
        <w:rPr>
          <w:color w:val="3366FF"/>
          <w:sz w:val="24"/>
          <w:szCs w:val="24"/>
        </w:rPr>
        <w:t xml:space="preserve">le chef </w:t>
      </w:r>
      <w:r>
        <w:rPr>
          <w:color w:val="3366FF"/>
          <w:sz w:val="24"/>
          <w:szCs w:val="24"/>
        </w:rPr>
        <w:t>du personnel</w:t>
      </w:r>
      <w:r w:rsidRPr="00C27CCC">
        <w:rPr>
          <w:color w:val="3366FF"/>
          <w:sz w:val="24"/>
          <w:szCs w:val="24"/>
        </w:rPr>
        <w:t>, le directeur adjoint, et le directeur du service ont une peine atténuée</w:t>
      </w:r>
      <w:r>
        <w:rPr>
          <w:color w:val="3366FF"/>
          <w:sz w:val="24"/>
          <w:szCs w:val="24"/>
        </w:rPr>
        <w:t xml:space="preserve"> comme indiqué ci-dessus</w:t>
      </w:r>
      <w:r w:rsidRPr="00C27CCC">
        <w:rPr>
          <w:color w:val="3366FF"/>
          <w:sz w:val="24"/>
          <w:szCs w:val="24"/>
        </w:rPr>
        <w:t>.</w:t>
      </w: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color w:val="3366FF"/>
          <w:sz w:val="24"/>
          <w:szCs w:val="24"/>
        </w:rPr>
      </w:pPr>
    </w:p>
    <w:p w:rsidR="00BA0143" w:rsidRPr="0091527F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b/>
          <w:sz w:val="24"/>
          <w:szCs w:val="24"/>
        </w:rPr>
      </w:pPr>
      <w:r w:rsidRPr="0091527F">
        <w:rPr>
          <w:b/>
          <w:sz w:val="24"/>
          <w:szCs w:val="24"/>
        </w:rPr>
        <w:t>Glossaire </w:t>
      </w:r>
      <w:proofErr w:type="spellStart"/>
      <w:r>
        <w:rPr>
          <w:b/>
          <w:sz w:val="24"/>
          <w:szCs w:val="24"/>
        </w:rPr>
        <w:t>lü</w:t>
      </w:r>
      <w:proofErr w:type="spellEnd"/>
      <w:r>
        <w:rPr>
          <w:b/>
          <w:sz w:val="24"/>
          <w:szCs w:val="24"/>
        </w:rPr>
        <w:t xml:space="preserve"> 28</w:t>
      </w:r>
      <w:r w:rsidRPr="0091527F">
        <w:rPr>
          <w:b/>
          <w:sz w:val="24"/>
          <w:szCs w:val="24"/>
        </w:rPr>
        <w:t>: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proofErr w:type="spellStart"/>
      <w:r>
        <w:rPr>
          <w:sz w:val="24"/>
          <w:szCs w:val="24"/>
        </w:rPr>
        <w:t>weishou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TW"/>
        </w:rPr>
        <w:t>為首</w:t>
      </w:r>
      <w:r>
        <w:rPr>
          <w:rFonts w:hint="eastAsia"/>
          <w:sz w:val="24"/>
          <w:szCs w:val="24"/>
          <w:lang w:eastAsia="zh-TW"/>
        </w:rPr>
        <w:t> </w:t>
      </w:r>
      <w:r>
        <w:rPr>
          <w:sz w:val="24"/>
          <w:szCs w:val="24"/>
          <w:lang w:eastAsia="zh-TW"/>
        </w:rPr>
        <w:t>: [tenir pour] coupable principal, auteur principal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Comment. Le terme désigne un des auteurs du crime désigné comme le « chef », le principal », dont la sentence va servir de base pour déterminer celle de ses éventuels « suiveurs », complices, associés, etc.  </w:t>
      </w:r>
      <w:r>
        <w:rPr>
          <w:sz w:val="24"/>
          <w:szCs w:val="24"/>
          <w:lang w:eastAsia="zh-TW"/>
        </w:rPr>
        <w:tab/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hyperlink r:id="rId7" w:history="1">
        <w:proofErr w:type="spellStart"/>
        <w:proofErr w:type="gramStart"/>
        <w:r w:rsidRPr="005456EB">
          <w:rPr>
            <w:rStyle w:val="Lienhypertexte"/>
            <w:rFonts w:eastAsia="細明體"/>
          </w:rPr>
          <w:t>shǒulǐng</w:t>
        </w:r>
        <w:proofErr w:type="spellEnd"/>
        <w:proofErr w:type="gramEnd"/>
        <w:r w:rsidRPr="005456EB">
          <w:rPr>
            <w:rStyle w:val="Lienhypertexte"/>
            <w:rFonts w:eastAsia="細明體"/>
          </w:rPr>
          <w:t xml:space="preserve"> </w:t>
        </w:r>
        <w:proofErr w:type="spellStart"/>
        <w:r w:rsidRPr="005456EB">
          <w:rPr>
            <w:rStyle w:val="Lienhypertexte"/>
            <w:rFonts w:eastAsia="細明體"/>
          </w:rPr>
          <w:t>guān</w:t>
        </w:r>
        <w:proofErr w:type="spellEnd"/>
      </w:hyperlink>
      <w:r w:rsidRPr="005456EB">
        <w:rPr>
          <w:rFonts w:eastAsia="細明體"/>
        </w:rPr>
        <w:t xml:space="preserve"> / </w:t>
      </w:r>
      <w:proofErr w:type="spellStart"/>
      <w:r w:rsidRPr="005456EB">
        <w:rPr>
          <w:rFonts w:eastAsia="細明體"/>
        </w:rPr>
        <w:t>首領官</w:t>
      </w:r>
      <w:proofErr w:type="spellEnd"/>
      <w:r w:rsidRPr="006F013D">
        <w:rPr>
          <w:i/>
          <w:sz w:val="24"/>
          <w:szCs w:val="24"/>
          <w:lang w:eastAsia="zh-TW"/>
        </w:rPr>
        <w:t>: déjà dans le glossaire</w:t>
      </w:r>
      <w:r>
        <w:rPr>
          <w:i/>
          <w:sz w:val="24"/>
          <w:szCs w:val="24"/>
          <w:lang w:eastAsia="zh-TW"/>
        </w:rPr>
        <w:t xml:space="preserve"> « officier en chef »</w:t>
      </w:r>
      <w:r w:rsidRPr="006F013D">
        <w:rPr>
          <w:i/>
          <w:sz w:val="24"/>
          <w:szCs w:val="24"/>
          <w:lang w:eastAsia="zh-TW"/>
        </w:rPr>
        <w:t>, trad.</w:t>
      </w:r>
      <w:r>
        <w:rPr>
          <w:i/>
          <w:sz w:val="24"/>
          <w:szCs w:val="24"/>
          <w:lang w:eastAsia="zh-TW"/>
        </w:rPr>
        <w:t xml:space="preserve"> corrigée en « chef du personnel</w:t>
      </w:r>
      <w:r w:rsidRPr="006F013D">
        <w:rPr>
          <w:i/>
          <w:sz w:val="24"/>
          <w:szCs w:val="24"/>
          <w:lang w:eastAsia="zh-TW"/>
        </w:rPr>
        <w:t> »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rFonts w:eastAsia="Times New Roman"/>
        </w:rPr>
      </w:pP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zuoer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60DE">
        <w:rPr>
          <w:sz w:val="24"/>
          <w:szCs w:val="24"/>
        </w:rPr>
        <w:t>佐貳官</w:t>
      </w:r>
      <w:proofErr w:type="spellEnd"/>
      <w:r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 xml:space="preserve">: magistrat adjoint 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Comment. catégorie de fonctionnaires nommés dans un poste subordonné à celui du magistrat détenteur du sceau, comprenant des </w:t>
      </w:r>
      <w:proofErr w:type="spellStart"/>
      <w:r>
        <w:rPr>
          <w:sz w:val="24"/>
          <w:szCs w:val="24"/>
        </w:rPr>
        <w:t>zhoutong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zhoupan</w:t>
      </w:r>
      <w:proofErr w:type="spellEnd"/>
      <w:r>
        <w:rPr>
          <w:sz w:val="24"/>
          <w:szCs w:val="24"/>
        </w:rPr>
        <w:t xml:space="preserve">, etc. 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</w:rPr>
      </w:pP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proofErr w:type="spellStart"/>
      <w:r>
        <w:rPr>
          <w:sz w:val="24"/>
          <w:szCs w:val="24"/>
        </w:rPr>
        <w:t>zhangguan</w:t>
      </w:r>
      <w:proofErr w:type="spellEnd"/>
      <w:r>
        <w:rPr>
          <w:rFonts w:hint="eastAsia"/>
          <w:sz w:val="24"/>
          <w:szCs w:val="24"/>
          <w:lang w:eastAsia="zh-TW"/>
        </w:rPr>
        <w:t>長官</w:t>
      </w:r>
      <w:r>
        <w:rPr>
          <w:rFonts w:hint="eastAsia"/>
          <w:sz w:val="24"/>
          <w:szCs w:val="24"/>
          <w:lang w:eastAsia="zh-TW"/>
        </w:rPr>
        <w:t> </w:t>
      </w:r>
      <w:r>
        <w:rPr>
          <w:sz w:val="24"/>
          <w:szCs w:val="24"/>
          <w:lang w:eastAsia="zh-TW"/>
        </w:rPr>
        <w:t xml:space="preserve">: directeur du service 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Comment. Terme générique désignant un fonctionnaire qui dirige un service de l’administration.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zh-TW"/>
        </w:rPr>
        <w:t>réf</w:t>
      </w:r>
      <w:proofErr w:type="gramEnd"/>
      <w:r>
        <w:rPr>
          <w:sz w:val="24"/>
          <w:szCs w:val="24"/>
          <w:lang w:eastAsia="zh-TW"/>
        </w:rPr>
        <w:t xml:space="preserve">. </w:t>
      </w:r>
      <w:proofErr w:type="spellStart"/>
      <w:r>
        <w:rPr>
          <w:sz w:val="24"/>
          <w:szCs w:val="24"/>
        </w:rPr>
        <w:t>Hucker</w:t>
      </w:r>
      <w:proofErr w:type="spellEnd"/>
      <w:r>
        <w:rPr>
          <w:sz w:val="24"/>
          <w:szCs w:val="24"/>
        </w:rPr>
        <w:t xml:space="preserve"> §143. Senior official</w:t>
      </w:r>
    </w:p>
    <w:p w:rsidR="00BA0143" w:rsidRDefault="00BA0143" w:rsidP="00BA014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proofErr w:type="spellStart"/>
      <w:r w:rsidRPr="00F931A6">
        <w:rPr>
          <w:sz w:val="24"/>
          <w:szCs w:val="24"/>
        </w:rPr>
        <w:t>dijian</w:t>
      </w:r>
      <w:proofErr w:type="spellEnd"/>
      <w:r w:rsidRPr="00F931A6">
        <w:rPr>
          <w:rFonts w:hint="eastAsia"/>
          <w:sz w:val="24"/>
          <w:szCs w:val="24"/>
          <w:lang w:eastAsia="zh-TW"/>
        </w:rPr>
        <w:t>遞減</w:t>
      </w:r>
      <w:r>
        <w:rPr>
          <w:rFonts w:hint="eastAsia"/>
          <w:sz w:val="24"/>
          <w:szCs w:val="24"/>
          <w:lang w:eastAsia="zh-TW"/>
        </w:rPr>
        <w:t> </w:t>
      </w:r>
      <w:r>
        <w:rPr>
          <w:sz w:val="24"/>
          <w:szCs w:val="24"/>
          <w:lang w:eastAsia="zh-TW"/>
        </w:rPr>
        <w:t>: proportionner les diminutions de peines ; diminutions [de peines] proportionnelles [au degré de responsabilité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r w:rsidRPr="00417CB8">
        <w:rPr>
          <w:b/>
          <w:sz w:val="24"/>
          <w:szCs w:val="24"/>
          <w:lang w:eastAsia="zh-TW"/>
        </w:rPr>
        <w:tab/>
        <w:t>Comment</w:t>
      </w:r>
      <w:r>
        <w:rPr>
          <w:sz w:val="24"/>
          <w:szCs w:val="24"/>
          <w:lang w:eastAsia="zh-TW"/>
        </w:rPr>
        <w:t xml:space="preserve">. mode d’application aux fonctionnaires des cumuls de diminutions de peines prévues par le code des Ming et des Qing, consistant à proportionner cette diminution au degré de responsabilité présumé dans la faute à sanctionner, qui est estimé selon les quatre degrés de la fonction publique (voir </w:t>
      </w:r>
      <w:proofErr w:type="spellStart"/>
      <w:r>
        <w:rPr>
          <w:sz w:val="24"/>
          <w:szCs w:val="24"/>
          <w:lang w:eastAsia="zh-TW"/>
        </w:rPr>
        <w:t>guanli</w:t>
      </w:r>
      <w:proofErr w:type="spellEnd"/>
      <w:r>
        <w:rPr>
          <w:sz w:val="24"/>
          <w:szCs w:val="24"/>
          <w:lang w:eastAsia="zh-TW"/>
        </w:rPr>
        <w:t xml:space="preserve"> </w:t>
      </w:r>
      <w:proofErr w:type="spellStart"/>
      <w:r>
        <w:rPr>
          <w:sz w:val="24"/>
          <w:szCs w:val="24"/>
          <w:lang w:eastAsia="zh-TW"/>
        </w:rPr>
        <w:t>sideng</w:t>
      </w:r>
      <w:proofErr w:type="spellEnd"/>
      <w:r>
        <w:rPr>
          <w:sz w:val="24"/>
          <w:szCs w:val="24"/>
          <w:lang w:eastAsia="zh-TW"/>
        </w:rPr>
        <w:t>)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ab/>
        <w:t xml:space="preserve">Réf. </w:t>
      </w:r>
      <w:hyperlink r:id="rId8" w:history="1">
        <w:r w:rsidRPr="009D339E">
          <w:rPr>
            <w:rStyle w:val="Lienhypertexte"/>
            <w:rFonts w:eastAsia="細明體"/>
          </w:rPr>
          <w:t>律</w:t>
        </w:r>
        <w:r w:rsidRPr="009D339E">
          <w:rPr>
            <w:rStyle w:val="Lienhypertexte"/>
            <w:rFonts w:eastAsia="細明體"/>
          </w:rPr>
          <w:t>/</w:t>
        </w:r>
        <w:proofErr w:type="spellStart"/>
        <w:r w:rsidRPr="009D339E">
          <w:rPr>
            <w:rStyle w:val="Lienhypertexte"/>
            <w:rFonts w:eastAsia="細明體"/>
          </w:rPr>
          <w:t>lü</w:t>
        </w:r>
        <w:proofErr w:type="spellEnd"/>
        <w:r w:rsidRPr="009D339E">
          <w:rPr>
            <w:rStyle w:val="Lienhypertexte"/>
            <w:rFonts w:eastAsia="細明體"/>
          </w:rPr>
          <w:t xml:space="preserve"> 11 | </w:t>
        </w:r>
        <w:proofErr w:type="spellStart"/>
        <w:r w:rsidRPr="009D339E">
          <w:rPr>
            <w:rStyle w:val="Lienhypertexte"/>
            <w:rFonts w:eastAsia="細明體"/>
          </w:rPr>
          <w:t>Fanzui</w:t>
        </w:r>
        <w:proofErr w:type="spellEnd"/>
        <w:r w:rsidRPr="009D339E">
          <w:rPr>
            <w:rStyle w:val="Lienhypertexte"/>
            <w:rFonts w:eastAsia="細明體"/>
          </w:rPr>
          <w:t xml:space="preserve"> de </w:t>
        </w:r>
        <w:proofErr w:type="spellStart"/>
        <w:r w:rsidRPr="009D339E">
          <w:rPr>
            <w:rStyle w:val="Lienhypertexte"/>
            <w:rFonts w:eastAsia="細明體"/>
          </w:rPr>
          <w:t>leijian</w:t>
        </w:r>
        <w:proofErr w:type="spellEnd"/>
        <w:r w:rsidRPr="009D339E">
          <w:rPr>
            <w:rStyle w:val="Lienhypertexte"/>
            <w:rFonts w:eastAsia="細明體"/>
          </w:rPr>
          <w:t xml:space="preserve"> </w:t>
        </w:r>
        <w:proofErr w:type="spellStart"/>
        <w:r w:rsidRPr="009D339E">
          <w:rPr>
            <w:rStyle w:val="Lienhypertexte"/>
            <w:rFonts w:eastAsia="細明體"/>
          </w:rPr>
          <w:t>犯罪得累減</w:t>
        </w:r>
        <w:proofErr w:type="spellEnd"/>
      </w:hyperlink>
      <w:r w:rsidRPr="009D339E">
        <w:rPr>
          <w:rFonts w:eastAsia="細明體"/>
        </w:rPr>
        <w:t xml:space="preserve"> ; </w:t>
      </w:r>
      <w:hyperlink r:id="rId9" w:history="1">
        <w:r w:rsidRPr="009D339E">
          <w:rPr>
            <w:rStyle w:val="Lienhypertexte"/>
            <w:rFonts w:eastAsia="細明體"/>
          </w:rPr>
          <w:t>律</w:t>
        </w:r>
        <w:r w:rsidRPr="009D339E">
          <w:rPr>
            <w:rStyle w:val="Lienhypertexte"/>
            <w:rFonts w:eastAsia="細明體"/>
          </w:rPr>
          <w:t>/</w:t>
        </w:r>
        <w:proofErr w:type="spellStart"/>
        <w:r w:rsidRPr="009D339E">
          <w:rPr>
            <w:rStyle w:val="Lienhypertexte"/>
            <w:rFonts w:eastAsia="細明體"/>
          </w:rPr>
          <w:t>lü</w:t>
        </w:r>
        <w:proofErr w:type="spellEnd"/>
        <w:r w:rsidRPr="009D339E">
          <w:rPr>
            <w:rStyle w:val="Lienhypertexte"/>
            <w:rFonts w:eastAsia="細明體"/>
          </w:rPr>
          <w:t xml:space="preserve"> 11 | </w:t>
        </w:r>
        <w:proofErr w:type="spellStart"/>
        <w:r w:rsidRPr="009D339E">
          <w:rPr>
            <w:rStyle w:val="Lienhypertexte"/>
            <w:rFonts w:eastAsia="細明體"/>
          </w:rPr>
          <w:t>Fanzui</w:t>
        </w:r>
        <w:proofErr w:type="spellEnd"/>
        <w:r w:rsidRPr="009D339E">
          <w:rPr>
            <w:rStyle w:val="Lienhypertexte"/>
            <w:rFonts w:eastAsia="細明體"/>
          </w:rPr>
          <w:t xml:space="preserve"> de </w:t>
        </w:r>
        <w:proofErr w:type="spellStart"/>
        <w:r w:rsidRPr="009D339E">
          <w:rPr>
            <w:rStyle w:val="Lienhypertexte"/>
            <w:rFonts w:eastAsia="細明體"/>
          </w:rPr>
          <w:t>leijian</w:t>
        </w:r>
        <w:proofErr w:type="spellEnd"/>
        <w:r w:rsidRPr="009D339E">
          <w:rPr>
            <w:rStyle w:val="Lienhypertexte"/>
            <w:rFonts w:eastAsia="細明體"/>
          </w:rPr>
          <w:t xml:space="preserve"> </w:t>
        </w:r>
        <w:proofErr w:type="spellStart"/>
        <w:r w:rsidRPr="009D339E">
          <w:rPr>
            <w:rStyle w:val="Lienhypertexte"/>
            <w:rFonts w:eastAsia="細明體"/>
          </w:rPr>
          <w:t>犯罪得累減</w:t>
        </w:r>
        <w:proofErr w:type="spellEnd"/>
      </w:hyperlink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[</w:t>
      </w:r>
      <w:proofErr w:type="spellStart"/>
      <w:r>
        <w:rPr>
          <w:sz w:val="24"/>
          <w:szCs w:val="24"/>
          <w:lang w:eastAsia="zh-TW"/>
        </w:rPr>
        <w:t>guanli</w:t>
      </w:r>
      <w:proofErr w:type="spellEnd"/>
      <w:r>
        <w:rPr>
          <w:sz w:val="24"/>
          <w:szCs w:val="24"/>
          <w:lang w:eastAsia="zh-TW"/>
        </w:rPr>
        <w:t xml:space="preserve">] </w:t>
      </w:r>
      <w:proofErr w:type="spellStart"/>
      <w:r>
        <w:rPr>
          <w:sz w:val="24"/>
          <w:szCs w:val="24"/>
          <w:lang w:eastAsia="zh-TW"/>
        </w:rPr>
        <w:t>sideng</w:t>
      </w:r>
      <w:proofErr w:type="spellEnd"/>
      <w:r>
        <w:rPr>
          <w:sz w:val="24"/>
          <w:szCs w:val="24"/>
          <w:lang w:eastAsia="zh-TW"/>
        </w:rPr>
        <w:t> </w:t>
      </w:r>
      <w:r>
        <w:rPr>
          <w:rFonts w:hint="eastAsia"/>
          <w:sz w:val="24"/>
          <w:szCs w:val="24"/>
          <w:lang w:eastAsia="zh-TW"/>
        </w:rPr>
        <w:t>官吏四等</w:t>
      </w:r>
      <w:r>
        <w:rPr>
          <w:sz w:val="24"/>
          <w:szCs w:val="24"/>
          <w:lang w:eastAsia="zh-TW"/>
        </w:rPr>
        <w:t>: quatre degrés de la fonction publique</w:t>
      </w:r>
    </w:p>
    <w:p w:rsidR="00BA0143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rFonts w:ascii="儷宋 Pro" w:eastAsia="儷宋 Pro" w:hAnsi="儷宋 Pro" w:cs="儷宋 Pro"/>
          <w:lang w:eastAsia="zh-TW"/>
        </w:rPr>
      </w:pPr>
      <w:r w:rsidRPr="00417CB8">
        <w:rPr>
          <w:rFonts w:hint="eastAsia"/>
          <w:b/>
          <w:sz w:val="24"/>
          <w:szCs w:val="24"/>
          <w:lang w:eastAsia="zh-TW"/>
        </w:rPr>
        <w:tab/>
      </w:r>
      <w:proofErr w:type="gramStart"/>
      <w:r w:rsidRPr="00417CB8">
        <w:rPr>
          <w:b/>
          <w:sz w:val="24"/>
          <w:szCs w:val="24"/>
          <w:lang w:eastAsia="zh-TW"/>
        </w:rPr>
        <w:t>comment </w:t>
      </w:r>
      <w:r>
        <w:rPr>
          <w:b/>
          <w:sz w:val="24"/>
          <w:szCs w:val="24"/>
          <w:lang w:eastAsia="zh-TW"/>
        </w:rPr>
        <w:t>.</w:t>
      </w:r>
      <w:proofErr w:type="gramEnd"/>
      <w:r>
        <w:rPr>
          <w:sz w:val="24"/>
          <w:szCs w:val="24"/>
          <w:lang w:eastAsia="zh-TW"/>
        </w:rPr>
        <w:t xml:space="preserve"> </w:t>
      </w:r>
      <w:proofErr w:type="gramStart"/>
      <w:r>
        <w:rPr>
          <w:sz w:val="24"/>
          <w:szCs w:val="24"/>
          <w:lang w:eastAsia="zh-TW"/>
        </w:rPr>
        <w:t>ce</w:t>
      </w:r>
      <w:proofErr w:type="gramEnd"/>
      <w:r>
        <w:rPr>
          <w:sz w:val="24"/>
          <w:szCs w:val="24"/>
          <w:lang w:eastAsia="zh-TW"/>
        </w:rPr>
        <w:t xml:space="preserve"> sont quatre degrés de responsabilité ainsi fixés dans le code des Tang : </w:t>
      </w:r>
      <w:r>
        <w:rPr>
          <w:rFonts w:ascii="儷宋 Pro" w:eastAsia="儷宋 Pro" w:hAnsi="儷宋 Pro" w:cs="儷宋 Pro"/>
        </w:rPr>
        <w:t xml:space="preserve">1. </w:t>
      </w:r>
      <w:proofErr w:type="spellStart"/>
      <w:r>
        <w:rPr>
          <w:rFonts w:ascii="儷宋 Pro" w:eastAsia="儷宋 Pro" w:hAnsi="儷宋 Pro" w:cs="儷宋 Pro"/>
          <w:lang w:eastAsia="zh-TW"/>
        </w:rPr>
        <w:t>zhang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proofErr w:type="spellStart"/>
      <w:r>
        <w:rPr>
          <w:rFonts w:ascii="儷宋 Pro" w:eastAsia="儷宋 Pro" w:hAnsi="儷宋 Pro" w:cs="儷宋 Pro"/>
          <w:lang w:eastAsia="zh-TW"/>
        </w:rPr>
        <w:t>guan</w:t>
      </w:r>
      <w:proofErr w:type="spellEnd"/>
      <w:r>
        <w:rPr>
          <w:rFonts w:ascii="儷宋 Pro" w:eastAsia="儷宋 Pro" w:hAnsi="儷宋 Pro" w:cs="儷宋 Pro"/>
          <w:lang w:eastAsia="zh-TW"/>
        </w:rPr>
        <w:t> </w:t>
      </w:r>
      <w:r>
        <w:rPr>
          <w:rFonts w:ascii="儷宋 Pro" w:eastAsia="儷宋 Pro" w:hAnsi="儷宋 Pro" w:cs="儷宋 Pro" w:hint="eastAsia"/>
          <w:lang w:eastAsia="zh-TW"/>
        </w:rPr>
        <w:t>長官</w:t>
      </w:r>
      <w:r>
        <w:rPr>
          <w:rFonts w:ascii="儷宋 Pro" w:eastAsia="儷宋 Pro" w:hAnsi="儷宋 Pro" w:cs="儷宋 Pro"/>
          <w:lang w:eastAsia="zh-TW"/>
        </w:rPr>
        <w:t>: ‘senior official’ (</w:t>
      </w:r>
      <w:proofErr w:type="spellStart"/>
      <w:r>
        <w:rPr>
          <w:rFonts w:ascii="儷宋 Pro" w:eastAsia="儷宋 Pro" w:hAnsi="儷宋 Pro" w:cs="儷宋 Pro"/>
          <w:lang w:eastAsia="zh-TW"/>
        </w:rPr>
        <w:t>Hucker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§143) : « </w:t>
      </w:r>
      <w:r>
        <w:rPr>
          <w:rFonts w:ascii="儷宋 Pro" w:eastAsia="儷宋 Pro" w:hAnsi="儷宋 Pro" w:cs="儷宋 Pro"/>
          <w:lang w:eastAsia="zh-CN"/>
        </w:rPr>
        <w:t xml:space="preserve">directeur du service </w:t>
      </w:r>
      <w:r>
        <w:rPr>
          <w:rFonts w:ascii="儷宋 Pro" w:eastAsia="儷宋 Pro" w:hAnsi="儷宋 Pro" w:cs="儷宋 Pro"/>
          <w:lang w:eastAsia="zh-TW"/>
        </w:rPr>
        <w:t xml:space="preserve">» ; 2. </w:t>
      </w:r>
      <w:proofErr w:type="spellStart"/>
      <w:r>
        <w:rPr>
          <w:rFonts w:ascii="儷宋 Pro" w:eastAsia="儷宋 Pro" w:hAnsi="儷宋 Pro" w:cs="儷宋 Pro"/>
          <w:lang w:eastAsia="zh-TW"/>
        </w:rPr>
        <w:t>Tongpan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proofErr w:type="spellStart"/>
      <w:r>
        <w:rPr>
          <w:rFonts w:ascii="儷宋 Pro" w:eastAsia="儷宋 Pro" w:hAnsi="儷宋 Pro" w:cs="儷宋 Pro"/>
          <w:lang w:eastAsia="zh-TW"/>
        </w:rPr>
        <w:t>guan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r>
        <w:rPr>
          <w:rFonts w:ascii="儷宋 Pro" w:eastAsia="儷宋 Pro" w:hAnsi="儷宋 Pro" w:cs="儷宋 Pro" w:hint="eastAsia"/>
          <w:lang w:eastAsia="zh-TW"/>
        </w:rPr>
        <w:t>通判官 </w:t>
      </w:r>
      <w:r>
        <w:rPr>
          <w:rFonts w:ascii="儷宋 Pro" w:eastAsia="儷宋 Pro" w:hAnsi="儷宋 Pro" w:cs="儷宋 Pro"/>
          <w:lang w:eastAsia="zh-TW"/>
        </w:rPr>
        <w:t xml:space="preserve">:  Premier magistrat ; 3. </w:t>
      </w:r>
      <w:proofErr w:type="spellStart"/>
      <w:r>
        <w:rPr>
          <w:rFonts w:ascii="儷宋 Pro" w:eastAsia="儷宋 Pro" w:hAnsi="儷宋 Pro" w:cs="儷宋 Pro"/>
          <w:lang w:eastAsia="zh-TW"/>
        </w:rPr>
        <w:t>panguan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r>
        <w:rPr>
          <w:rFonts w:ascii="儷宋 Pro" w:eastAsia="儷宋 Pro" w:hAnsi="儷宋 Pro" w:cs="儷宋 Pro" w:hint="eastAsia"/>
          <w:lang w:eastAsia="zh-TW"/>
        </w:rPr>
        <w:t>判官</w:t>
      </w:r>
      <w:r>
        <w:rPr>
          <w:rFonts w:ascii="儷宋 Pro" w:eastAsia="儷宋 Pro" w:hAnsi="儷宋 Pro" w:cs="儷宋 Pro"/>
          <w:lang w:eastAsia="zh-TW"/>
        </w:rPr>
        <w:t xml:space="preserve"> : magistrat ; 4. </w:t>
      </w:r>
      <w:r>
        <w:rPr>
          <w:rFonts w:ascii="儷宋 Pro" w:eastAsia="儷宋 Pro" w:hAnsi="儷宋 Pro" w:cs="儷宋 Pro" w:hint="eastAsia"/>
          <w:lang w:eastAsia="zh-TW"/>
        </w:rPr>
        <w:t>主典</w:t>
      </w:r>
      <w:r>
        <w:rPr>
          <w:rFonts w:ascii="儷宋 Pro" w:eastAsia="儷宋 Pro" w:hAnsi="儷宋 Pro" w:cs="儷宋 Pro"/>
          <w:lang w:eastAsia="zh-TW"/>
        </w:rPr>
        <w:t xml:space="preserve"> : secrétaires (± </w:t>
      </w:r>
      <w:proofErr w:type="spellStart"/>
      <w:r>
        <w:rPr>
          <w:rFonts w:ascii="儷宋 Pro" w:eastAsia="儷宋 Pro" w:hAnsi="儷宋 Pro" w:cs="儷宋 Pro"/>
          <w:lang w:eastAsia="zh-TW"/>
        </w:rPr>
        <w:t>zhushi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r>
        <w:rPr>
          <w:rFonts w:ascii="儷宋 Pro" w:eastAsia="儷宋 Pro" w:hAnsi="儷宋 Pro" w:cs="儷宋 Pro" w:hint="eastAsia"/>
          <w:lang w:eastAsia="zh-TW"/>
        </w:rPr>
        <w:t xml:space="preserve">主事 </w:t>
      </w:r>
      <w:r>
        <w:rPr>
          <w:rFonts w:ascii="儷宋 Pro" w:eastAsia="儷宋 Pro" w:hAnsi="儷宋 Pro" w:cs="儷宋 Pro"/>
          <w:lang w:eastAsia="zh-TW"/>
        </w:rPr>
        <w:t xml:space="preserve">managers </w:t>
      </w:r>
      <w:proofErr w:type="spellStart"/>
      <w:r>
        <w:rPr>
          <w:rFonts w:ascii="儷宋 Pro" w:eastAsia="儷宋 Pro" w:hAnsi="儷宋 Pro" w:cs="儷宋 Pro"/>
          <w:lang w:eastAsia="zh-TW"/>
        </w:rPr>
        <w:t>H</w:t>
      </w:r>
      <w:r>
        <w:rPr>
          <w:rFonts w:ascii="儷宋 Pro" w:eastAsia="儷宋 Pro" w:hAnsi="儷宋 Pro" w:cs="儷宋 Pro" w:hint="eastAsia"/>
          <w:lang w:eastAsia="zh-TW"/>
        </w:rPr>
        <w:t>ucker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§ 1420). Sous les Qing, les trois derniers termes sont remplacés par : 2. </w:t>
      </w:r>
      <w:proofErr w:type="spellStart"/>
      <w:r>
        <w:rPr>
          <w:rFonts w:ascii="儷宋 Pro" w:eastAsia="儷宋 Pro" w:hAnsi="儷宋 Pro" w:cs="儷宋 Pro"/>
          <w:lang w:eastAsia="zh-TW"/>
        </w:rPr>
        <w:t>shouling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 </w:t>
      </w:r>
      <w:proofErr w:type="spellStart"/>
      <w:r>
        <w:rPr>
          <w:rFonts w:ascii="儷宋 Pro" w:eastAsia="儷宋 Pro" w:hAnsi="儷宋 Pro" w:cs="儷宋 Pro"/>
          <w:lang w:eastAsia="zh-TW"/>
        </w:rPr>
        <w:t>guan</w:t>
      </w:r>
      <w:proofErr w:type="spellEnd"/>
      <w:r>
        <w:rPr>
          <w:rFonts w:ascii="儷宋 Pro" w:eastAsia="儷宋 Pro" w:hAnsi="儷宋 Pro" w:cs="儷宋 Pro"/>
          <w:lang w:eastAsia="zh-TW"/>
        </w:rPr>
        <w:t> (</w:t>
      </w:r>
      <w:proofErr w:type="spellStart"/>
      <w:r>
        <w:rPr>
          <w:rFonts w:ascii="儷宋 Pro" w:eastAsia="儷宋 Pro" w:hAnsi="儷宋 Pro" w:cs="儷宋 Pro"/>
          <w:lang w:eastAsia="zh-TW"/>
        </w:rPr>
        <w:t>q.v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.); 3. </w:t>
      </w:r>
      <w:proofErr w:type="spellStart"/>
      <w:proofErr w:type="gramStart"/>
      <w:r>
        <w:rPr>
          <w:rFonts w:ascii="儷宋 Pro" w:eastAsia="儷宋 Pro" w:hAnsi="儷宋 Pro" w:cs="儷宋 Pro"/>
          <w:lang w:eastAsia="zh-TW"/>
        </w:rPr>
        <w:t>zuoer</w:t>
      </w:r>
      <w:proofErr w:type="spellEnd"/>
      <w:proofErr w:type="gramEnd"/>
      <w:r>
        <w:rPr>
          <w:rFonts w:ascii="儷宋 Pro" w:eastAsia="儷宋 Pro" w:hAnsi="儷宋 Pro" w:cs="儷宋 Pro"/>
          <w:lang w:eastAsia="zh-TW"/>
        </w:rPr>
        <w:t xml:space="preserve"> </w:t>
      </w:r>
      <w:proofErr w:type="spellStart"/>
      <w:r>
        <w:rPr>
          <w:rFonts w:ascii="儷宋 Pro" w:eastAsia="儷宋 Pro" w:hAnsi="儷宋 Pro" w:cs="儷宋 Pro"/>
          <w:lang w:eastAsia="zh-TW"/>
        </w:rPr>
        <w:t>guan</w:t>
      </w:r>
      <w:proofErr w:type="spellEnd"/>
      <w:r>
        <w:rPr>
          <w:rFonts w:ascii="儷宋 Pro" w:eastAsia="儷宋 Pro" w:hAnsi="儷宋 Pro" w:cs="儷宋 Pro"/>
          <w:lang w:eastAsia="zh-TW"/>
        </w:rPr>
        <w:t>  (</w:t>
      </w:r>
      <w:proofErr w:type="spellStart"/>
      <w:r>
        <w:rPr>
          <w:rFonts w:ascii="儷宋 Pro" w:eastAsia="儷宋 Pro" w:hAnsi="儷宋 Pro" w:cs="儷宋 Pro"/>
          <w:lang w:eastAsia="zh-TW"/>
        </w:rPr>
        <w:t>q.v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.); 4. </w:t>
      </w:r>
      <w:proofErr w:type="spellStart"/>
      <w:proofErr w:type="gramStart"/>
      <w:r>
        <w:rPr>
          <w:rFonts w:ascii="儷宋 Pro" w:eastAsia="儷宋 Pro" w:hAnsi="儷宋 Pro" w:cs="儷宋 Pro"/>
          <w:lang w:eastAsia="zh-TW"/>
        </w:rPr>
        <w:t>zazhi</w:t>
      </w:r>
      <w:proofErr w:type="spellEnd"/>
      <w:proofErr w:type="gramEnd"/>
      <w:r>
        <w:rPr>
          <w:rFonts w:ascii="儷宋 Pro" w:eastAsia="儷宋 Pro" w:hAnsi="儷宋 Pro" w:cs="儷宋 Pro"/>
          <w:lang w:eastAsia="zh-TW"/>
        </w:rPr>
        <w:t xml:space="preserve"> (</w:t>
      </w:r>
      <w:proofErr w:type="spellStart"/>
      <w:r>
        <w:rPr>
          <w:rFonts w:ascii="儷宋 Pro" w:eastAsia="儷宋 Pro" w:hAnsi="儷宋 Pro" w:cs="儷宋 Pro"/>
          <w:lang w:eastAsia="zh-TW"/>
        </w:rPr>
        <w:t>q.v</w:t>
      </w:r>
      <w:proofErr w:type="spellEnd"/>
      <w:r>
        <w:rPr>
          <w:rFonts w:ascii="儷宋 Pro" w:eastAsia="儷宋 Pro" w:hAnsi="儷宋 Pro" w:cs="儷宋 Pro"/>
          <w:lang w:eastAsia="zh-TW"/>
        </w:rPr>
        <w:t>.). Ces degrés ne doivent pas être confondus avec les neuf grades de la hiérarchie des fonctionnaires, il s’agit seulement d’une division dans les attributions des personnes attachées à un même service. Cette subdivision se retrouve à différents niveaux des services publics, des ministères aux sièges de districts, qui emploient des fonctionnaires de grade et de titre très différents. « L’expression employée ne désigne donc jamais le rang du fonctionnaire ; il s’agit uniquement du rôle qu’il joue dans l’administration ou dans le service dont il fait partie » (</w:t>
      </w:r>
      <w:proofErr w:type="spellStart"/>
      <w:r>
        <w:rPr>
          <w:rFonts w:ascii="儷宋 Pro" w:eastAsia="儷宋 Pro" w:hAnsi="儷宋 Pro" w:cs="儷宋 Pro"/>
          <w:lang w:eastAsia="zh-TW"/>
        </w:rPr>
        <w:t>Philastre</w:t>
      </w:r>
      <w:proofErr w:type="spellEnd"/>
      <w:r>
        <w:rPr>
          <w:rFonts w:ascii="儷宋 Pro" w:eastAsia="儷宋 Pro" w:hAnsi="儷宋 Pro" w:cs="儷宋 Pro"/>
          <w:lang w:eastAsia="zh-TW"/>
        </w:rPr>
        <w:t xml:space="preserve">, code Annam., 1, p. 229). Ces degrés servaient notamment à établir les responsabilités en cas de faute, et à proportionner les diminutions de peines (voir </w:t>
      </w:r>
      <w:proofErr w:type="spellStart"/>
      <w:r>
        <w:rPr>
          <w:rFonts w:ascii="儷宋 Pro" w:eastAsia="儷宋 Pro" w:hAnsi="儷宋 Pro" w:cs="儷宋 Pro"/>
          <w:lang w:eastAsia="zh-TW"/>
        </w:rPr>
        <w:t>dijian</w:t>
      </w:r>
      <w:proofErr w:type="spellEnd"/>
      <w:r>
        <w:rPr>
          <w:rFonts w:ascii="儷宋 Pro" w:eastAsia="儷宋 Pro" w:hAnsi="儷宋 Pro" w:cs="儷宋 Pro"/>
          <w:lang w:eastAsia="zh-TW"/>
        </w:rPr>
        <w:t>).</w:t>
      </w:r>
    </w:p>
    <w:p w:rsidR="00BA0143" w:rsidRPr="00BA5024" w:rsidRDefault="00BA0143" w:rsidP="00BA0143">
      <w:pPr>
        <w:pStyle w:val="NormalWeb"/>
        <w:spacing w:before="0" w:beforeAutospacing="0" w:after="0" w:afterAutospacing="0"/>
        <w:ind w:left="567"/>
        <w:jc w:val="both"/>
        <w:rPr>
          <w:sz w:val="24"/>
          <w:szCs w:val="24"/>
          <w:lang w:eastAsia="zh-TW"/>
        </w:rPr>
      </w:pPr>
      <w:proofErr w:type="spellStart"/>
      <w:r>
        <w:rPr>
          <w:rFonts w:ascii="儷宋 Pro" w:eastAsia="儷宋 Pro" w:hAnsi="儷宋 Pro" w:cs="儷宋 Pro"/>
          <w:lang w:eastAsia="zh-TW"/>
        </w:rPr>
        <w:t>Ref</w:t>
      </w:r>
      <w:proofErr w:type="spellEnd"/>
      <w:r>
        <w:rPr>
          <w:rFonts w:ascii="儷宋 Pro" w:eastAsia="儷宋 Pro" w:hAnsi="儷宋 Pro" w:cs="儷宋 Pro"/>
          <w:lang w:eastAsia="zh-TW"/>
        </w:rPr>
        <w:t>.</w:t>
      </w:r>
    </w:p>
    <w:p w:rsidR="00700937" w:rsidRDefault="00700937"/>
    <w:sectPr w:rsidR="007009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43" w:rsidRDefault="00BA0143" w:rsidP="00BA0143">
      <w:r>
        <w:separator/>
      </w:r>
    </w:p>
  </w:endnote>
  <w:endnote w:type="continuationSeparator" w:id="0">
    <w:p w:rsidR="00BA0143" w:rsidRDefault="00BA0143" w:rsidP="00BA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STIXGeneral">
    <w:charset w:val="00"/>
    <w:family w:val="auto"/>
    <w:pitch w:val="variable"/>
    <w:sig w:usb0="A00002FF" w:usb1="4203FDFF" w:usb2="02000020" w:usb3="00000000" w:csb0="803F01F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43" w:rsidRDefault="00BA0143" w:rsidP="00BA0143">
      <w:r>
        <w:separator/>
      </w:r>
    </w:p>
  </w:footnote>
  <w:footnote w:type="continuationSeparator" w:id="0">
    <w:p w:rsidR="00BA0143" w:rsidRDefault="00BA0143" w:rsidP="00BA0143">
      <w:r>
        <w:continuationSeparator/>
      </w:r>
    </w:p>
  </w:footnote>
  <w:footnote w:id="1">
    <w:p w:rsidR="00BA0143" w:rsidRPr="00A80293" w:rsidRDefault="00BA0143" w:rsidP="00BA0143">
      <w:pPr>
        <w:pStyle w:val="Notedebasdepage"/>
        <w:rPr>
          <w:rFonts w:ascii="儷宋 Pro" w:eastAsia="儷宋 Pro" w:hAnsi="儷宋 Pro" w:cs="儷宋 Pro"/>
          <w:sz w:val="20"/>
          <w:szCs w:val="20"/>
          <w:lang w:val="fr-FR" w:eastAsia="zh-TW"/>
        </w:rPr>
      </w:pPr>
      <w:r w:rsidRPr="00A80293">
        <w:rPr>
          <w:rStyle w:val="Marquenotebasdepage"/>
          <w:sz w:val="20"/>
          <w:szCs w:val="20"/>
        </w:rPr>
        <w:footnoteRef/>
      </w:r>
      <w:r w:rsidRPr="00A80293">
        <w:rPr>
          <w:sz w:val="20"/>
          <w:szCs w:val="20"/>
        </w:rPr>
        <w:t xml:space="preserve"> </w:t>
      </w:r>
      <w:r w:rsidRPr="00A80293">
        <w:rPr>
          <w:sz w:val="20"/>
          <w:szCs w:val="20"/>
          <w:lang w:val="fr-FR"/>
        </w:rPr>
        <w:t>Selon le code des Tang</w:t>
      </w:r>
      <w:r w:rsidRPr="00A80293">
        <w:rPr>
          <w:sz w:val="20"/>
          <w:szCs w:val="20"/>
          <w:lang w:val="fr-FR"/>
        </w:rPr>
        <w:t> </w:t>
      </w:r>
      <w:r w:rsidRPr="00A80293">
        <w:rPr>
          <w:sz w:val="20"/>
          <w:szCs w:val="20"/>
          <w:lang w:val="fr-FR"/>
        </w:rPr>
        <w:t xml:space="preserve">: </w:t>
      </w:r>
      <w:hyperlink r:id="rId1" w:tooltip="唐" w:history="1">
        <w:r w:rsidRPr="00A80293">
          <w:rPr>
            <w:rStyle w:val="Lienhypertexte"/>
            <w:rFonts w:eastAsia="Times New Roman"/>
            <w:sz w:val="20"/>
            <w:szCs w:val="20"/>
          </w:rPr>
          <w:t>唐</w:t>
        </w:r>
      </w:hyperlink>
      <w:r w:rsidRPr="00A80293">
        <w:rPr>
          <w:rFonts w:ascii="儷宋 Pro" w:eastAsia="儷宋 Pro" w:hAnsi="儷宋 Pro" w:cs="儷宋 Pro" w:hint="eastAsia"/>
          <w:sz w:val="20"/>
          <w:szCs w:val="20"/>
        </w:rPr>
        <w:t>律令官制では</w:t>
      </w:r>
      <w:r w:rsidRPr="00A80293">
        <w:rPr>
          <w:rFonts w:ascii="Microsoft Tai Le" w:eastAsia="儷宋 Pro" w:hAnsi="Microsoft Tai Le" w:cs="Microsoft Tai Le"/>
          <w:sz w:val="20"/>
          <w:szCs w:val="20"/>
        </w:rPr>
        <w:t>、</w:t>
      </w:r>
      <w:r w:rsidRPr="00A80293">
        <w:rPr>
          <w:rFonts w:eastAsia="Times New Roman"/>
          <w:sz w:val="20"/>
          <w:szCs w:val="20"/>
        </w:rPr>
        <w:t>長官</w:t>
      </w:r>
      <w:r w:rsidRPr="00A80293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A80293">
        <w:rPr>
          <w:rFonts w:eastAsia="Times New Roman"/>
          <w:sz w:val="20"/>
          <w:szCs w:val="20"/>
        </w:rPr>
        <w:t>通判官</w:t>
      </w:r>
      <w:r w:rsidRPr="00A80293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A80293">
        <w:rPr>
          <w:rFonts w:eastAsia="Times New Roman"/>
          <w:sz w:val="20"/>
          <w:szCs w:val="20"/>
        </w:rPr>
        <w:t>判官</w:t>
      </w:r>
      <w:r w:rsidRPr="00A80293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A80293">
        <w:rPr>
          <w:rFonts w:eastAsia="Times New Roman"/>
          <w:sz w:val="20"/>
          <w:szCs w:val="20"/>
        </w:rPr>
        <w:t>主典</w:t>
      </w:r>
      <w:r w:rsidRPr="00A80293">
        <w:rPr>
          <w:rFonts w:ascii="STIXGeneral" w:eastAsia="儷宋 Pro" w:hAnsi="STIXGeneral" w:cs="STIXGeneral"/>
          <w:sz w:val="20"/>
          <w:szCs w:val="20"/>
        </w:rPr>
        <w:t>の</w:t>
      </w:r>
      <w:r w:rsidRPr="00A80293">
        <w:rPr>
          <w:rFonts w:eastAsia="Times New Roman"/>
          <w:sz w:val="20"/>
          <w:szCs w:val="20"/>
        </w:rPr>
        <w:t>4</w:t>
      </w:r>
      <w:r w:rsidRPr="00A80293">
        <w:rPr>
          <w:rFonts w:eastAsia="Times New Roman"/>
          <w:sz w:val="20"/>
          <w:szCs w:val="20"/>
        </w:rPr>
        <w:t>等級による組織体系がとら</w:t>
      </w:r>
      <w:r w:rsidRPr="00A80293">
        <w:rPr>
          <w:rFonts w:ascii="儷宋 Pro" w:eastAsia="儷宋 Pro" w:hAnsi="儷宋 Pro" w:cs="儷宋 Pro" w:hint="eastAsia"/>
          <w:sz w:val="20"/>
          <w:szCs w:val="20"/>
        </w:rPr>
        <w:t>れ</w:t>
      </w:r>
      <w:r w:rsidRPr="00A80293">
        <w:rPr>
          <w:rFonts w:ascii="儷宋 Pro" w:eastAsia="儷宋 Pro" w:hAnsi="儷宋 Pro" w:cs="儷宋 Pro"/>
          <w:sz w:val="20"/>
          <w:szCs w:val="20"/>
        </w:rPr>
        <w:t xml:space="preserve"> — 1.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zhang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guan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 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長官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: ‘senior official’, a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generic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term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specifying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the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head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of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any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kind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of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agency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(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Hucker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§143) : « 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CN"/>
        </w:rPr>
        <w:t xml:space="preserve">directeur du service 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» ; 2.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Tongpan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guan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通判官 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:  Premier magistrat ; 3.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panguan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判官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 : magistrat ; 4. 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主典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 : secrétaires (±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zhushi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 xml:space="preserve">主事 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managers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H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ucker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§ 1420) ,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zhucao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r w:rsidRPr="00A80293">
        <w:rPr>
          <w:rFonts w:ascii="儷宋 Pro" w:eastAsia="儷宋 Pro" w:hAnsi="儷宋 Pro" w:cs="儷宋 Pro" w:hint="eastAsia"/>
          <w:sz w:val="20"/>
          <w:szCs w:val="20"/>
          <w:lang w:val="fr-FR" w:eastAsia="zh-TW"/>
        </w:rPr>
        <w:t>主曹</w:t>
      </w:r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Hucker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§ 1439). Sur l’emploi de ces catégories des Tang sous les Qing, voir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Philastre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, Code </w:t>
      </w:r>
      <w:proofErr w:type="spellStart"/>
      <w:proofErr w:type="gram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annam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.,</w:t>
      </w:r>
      <w:proofErr w:type="gram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1, p. 228 (PDF) : « La loi parle de quatre degrés de fonctionnaires ; il n’est pas question du rang dans la hiérarchie des fonctionnaires, mais seulement d’une division dans les attributions des personnes attachées à un même service ». Subdivision qu’on retrouve à différents niveaux, du ministère au district. « L’expression employée ne désigne donc jamais le rang du fonctionnaire ; il s’agit uniquement du rôle qu’il joue dans l’administration ou dans le service dont il fait partie » ; et 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Ch’ü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 xml:space="preserve"> T’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ung-tsu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, pp. 8 (</w:t>
      </w:r>
      <w:proofErr w:type="spellStart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adm</w:t>
      </w:r>
      <w:proofErr w:type="spellEnd"/>
      <w:r w:rsidRPr="00A80293">
        <w:rPr>
          <w:rFonts w:ascii="儷宋 Pro" w:eastAsia="儷宋 Pro" w:hAnsi="儷宋 Pro" w:cs="儷宋 Pro"/>
          <w:sz w:val="20"/>
          <w:szCs w:val="20"/>
          <w:lang w:val="fr-FR" w:eastAsia="zh-TW"/>
        </w:rPr>
        <w:t>. locale) et 129.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3"/>
    <w:rsid w:val="00450AF3"/>
    <w:rsid w:val="00563BEB"/>
    <w:rsid w:val="00700937"/>
    <w:rsid w:val="00BA0143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E31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1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A014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A0143"/>
    <w:rPr>
      <w:rFonts w:ascii="Garamond 3" w:hAnsiTheme="minorHAnsi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A0143"/>
    <w:rPr>
      <w:rFonts w:ascii="Garamond 3" w:hAnsiTheme="minorHAnsi"/>
      <w:lang w:val="en-US"/>
    </w:rPr>
  </w:style>
  <w:style w:type="character" w:styleId="Marquenotebasdepage">
    <w:name w:val="footnote reference"/>
    <w:basedOn w:val="Policepardfaut"/>
    <w:uiPriority w:val="99"/>
    <w:unhideWhenUsed/>
    <w:rsid w:val="00BA0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1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A014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A0143"/>
    <w:rPr>
      <w:rFonts w:ascii="Garamond 3" w:hAnsiTheme="minorHAnsi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A0143"/>
    <w:rPr>
      <w:rFonts w:ascii="Garamond 3" w:hAnsiTheme="minorHAnsi"/>
      <w:lang w:val="en-US"/>
    </w:rPr>
  </w:style>
  <w:style w:type="character" w:styleId="Marquenotebasdepage">
    <w:name w:val="footnote reference"/>
    <w:basedOn w:val="Policepardfaut"/>
    <w:uiPriority w:val="99"/>
    <w:unhideWhenUsed/>
    <w:rsid w:val="00BA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Glossary/Terms?ID=226" TargetMode="External"/><Relationship Id="rId8" Type="http://schemas.openxmlformats.org/officeDocument/2006/relationships/hyperlink" Target="http://lsc.chineselegalculture.org/eC/DQLL_1740/5.1.1.11" TargetMode="External"/><Relationship Id="rId9" Type="http://schemas.openxmlformats.org/officeDocument/2006/relationships/hyperlink" Target="http://lsc.chineselegalculture.org/eC/DMLJJFL_1610/8.1.1.1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a.wikipedia.org/wiki/%E5%94%9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5437</Characters>
  <Application>Microsoft Macintosh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2016-12-03T16:34:00Z</dcterms:created>
  <dcterms:modified xsi:type="dcterms:W3CDTF">2016-12-03T16:35:00Z</dcterms:modified>
</cp:coreProperties>
</file>