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F680" w14:textId="77777777" w:rsidR="00C54DCC" w:rsidRDefault="00C54DCC" w:rsidP="00C54DCC">
      <w:pPr>
        <w:pStyle w:val="Normalweb"/>
        <w:spacing w:before="0" w:beforeAutospacing="0" w:after="0" w:afterAutospacing="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"http://lsc.chineselegalculture.org/eC/DQLL_1740/5.6.1.266" </w:instrText>
      </w:r>
      <w:r>
        <w:fldChar w:fldCharType="separate"/>
      </w:r>
      <w:r>
        <w:rPr>
          <w:rStyle w:val="Lienhypertexte"/>
          <w:lang w:eastAsia="zh-TW"/>
        </w:rPr>
        <w:t>律</w:t>
      </w:r>
      <w:r>
        <w:rPr>
          <w:rStyle w:val="Lienhypertexte"/>
          <w:lang w:eastAsia="zh-TW"/>
        </w:rPr>
        <w:t>/</w:t>
      </w:r>
      <w:proofErr w:type="spellStart"/>
      <w:r>
        <w:rPr>
          <w:rStyle w:val="Lienhypertexte"/>
          <w:lang w:eastAsia="zh-TW"/>
        </w:rPr>
        <w:t>lü</w:t>
      </w:r>
      <w:proofErr w:type="spellEnd"/>
      <w:r>
        <w:rPr>
          <w:rStyle w:val="Lienhypertexte"/>
          <w:lang w:eastAsia="zh-TW"/>
        </w:rPr>
        <w:t xml:space="preserve"> 266 | </w:t>
      </w:r>
      <w:proofErr w:type="spellStart"/>
      <w:r>
        <w:rPr>
          <w:rStyle w:val="Lienhypertexte"/>
          <w:lang w:eastAsia="zh-TW"/>
        </w:rPr>
        <w:t>Qiangdao</w:t>
      </w:r>
      <w:proofErr w:type="spellEnd"/>
      <w:r>
        <w:rPr>
          <w:rStyle w:val="Lienhypertexte"/>
          <w:lang w:eastAsia="zh-TW"/>
        </w:rPr>
        <w:t xml:space="preserve"> </w:t>
      </w:r>
      <w:r>
        <w:rPr>
          <w:rStyle w:val="Lienhypertexte"/>
          <w:lang w:eastAsia="zh-TW"/>
        </w:rPr>
        <w:t>強盜</w:t>
      </w:r>
      <w:r>
        <w:fldChar w:fldCharType="end"/>
      </w:r>
    </w:p>
    <w:p w14:paraId="1C393ACF" w14:textId="77777777" w:rsidR="00C54DCC" w:rsidRPr="00C54DCC" w:rsidRDefault="00C54DCC" w:rsidP="00C54DCC">
      <w:pPr>
        <w:pStyle w:val="Normalweb"/>
        <w:rPr>
          <w:lang w:eastAsia="zh-TW"/>
        </w:rPr>
      </w:pPr>
      <w:r w:rsidRPr="00C54DCC">
        <w:rPr>
          <w:lang w:eastAsia="zh-TW"/>
        </w:rPr>
        <w:t>凡強盜已行而不得財者，皆杖一百、流三千里。但得</w:t>
      </w:r>
      <w:r w:rsidRPr="00C54DCC">
        <w:rPr>
          <w:color w:val="3370FF"/>
          <w:sz w:val="21"/>
          <w:szCs w:val="21"/>
          <w:lang w:eastAsia="zh-TW"/>
        </w:rPr>
        <w:t>事主</w:t>
      </w:r>
      <w:r w:rsidRPr="00C54DCC">
        <w:rPr>
          <w:lang w:eastAsia="zh-TW"/>
        </w:rPr>
        <w:t>財者，不分首從，皆斬。</w:t>
      </w:r>
      <w:r w:rsidRPr="00C54DCC">
        <w:rPr>
          <w:color w:val="3370FF"/>
          <w:sz w:val="21"/>
          <w:szCs w:val="21"/>
          <w:lang w:eastAsia="zh-TW"/>
        </w:rPr>
        <w:t>雖不分贜，亦坐。其造意不行又不分贜者，杖一百、流三千里。夥盜不行又不分贜者，杖一百。</w:t>
      </w:r>
    </w:p>
    <w:p w14:paraId="5A91D46A" w14:textId="77777777" w:rsidR="00C54DCC" w:rsidRPr="00C54DCC" w:rsidRDefault="00C54DCC" w:rsidP="00C54DCC">
      <w:pPr>
        <w:pStyle w:val="Normalweb"/>
        <w:rPr>
          <w:lang w:eastAsia="zh-TW"/>
        </w:rPr>
      </w:pPr>
      <w:r w:rsidRPr="00C54DCC">
        <w:rPr>
          <w:lang w:eastAsia="zh-TW"/>
        </w:rPr>
        <w:t>若以藥迷人圖財者，罪同。</w:t>
      </w:r>
      <w:r w:rsidRPr="00C54DCC">
        <w:rPr>
          <w:color w:val="3370FF"/>
          <w:sz w:val="21"/>
          <w:szCs w:val="21"/>
          <w:lang w:eastAsia="zh-TW"/>
        </w:rPr>
        <w:t>但得財，皆斬。</w:t>
      </w:r>
    </w:p>
    <w:p w14:paraId="278ECFB5" w14:textId="77777777" w:rsidR="00C54DCC" w:rsidRPr="00C54DCC" w:rsidRDefault="00C54DCC" w:rsidP="00C54DCC">
      <w:pPr>
        <w:pStyle w:val="Normalweb"/>
        <w:rPr>
          <w:lang w:eastAsia="zh-TW"/>
        </w:rPr>
      </w:pPr>
      <w:r w:rsidRPr="00C54DCC">
        <w:rPr>
          <w:lang w:eastAsia="zh-TW"/>
        </w:rPr>
        <w:t>若竊盜臨時有拒捕及殺傷人者，皆斬。</w:t>
      </w:r>
      <w:r w:rsidRPr="00C54DCC">
        <w:rPr>
          <w:color w:val="3370FF"/>
          <w:sz w:val="21"/>
          <w:szCs w:val="21"/>
          <w:lang w:eastAsia="zh-TW"/>
        </w:rPr>
        <w:t>監候。得財不得財，皆斬，須看「臨時」二字。</w:t>
      </w:r>
      <w:r w:rsidRPr="00C54DCC">
        <w:rPr>
          <w:lang w:eastAsia="zh-TW"/>
        </w:rPr>
        <w:t>因盜而姦者，罪亦如之。</w:t>
      </w:r>
      <w:r w:rsidRPr="00C54DCC">
        <w:rPr>
          <w:color w:val="3370FF"/>
          <w:sz w:val="21"/>
          <w:szCs w:val="21"/>
          <w:lang w:eastAsia="zh-TW"/>
        </w:rPr>
        <w:t>不論成姦與否，不分首從。</w:t>
      </w:r>
      <w:r w:rsidRPr="00C54DCC">
        <w:rPr>
          <w:lang w:eastAsia="zh-TW"/>
        </w:rPr>
        <w:t>共盜之人不曾助力，不知拒捕殺傷人及姦情者，</w:t>
      </w:r>
      <w:r w:rsidRPr="00C54DCC">
        <w:rPr>
          <w:color w:val="3370FF"/>
          <w:sz w:val="21"/>
          <w:szCs w:val="21"/>
          <w:lang w:eastAsia="zh-TW"/>
        </w:rPr>
        <w:t>審確。</w:t>
      </w:r>
      <w:r w:rsidRPr="00C54DCC">
        <w:rPr>
          <w:lang w:eastAsia="zh-TW"/>
        </w:rPr>
        <w:t>止依竊盜論。</w:t>
      </w:r>
      <w:r w:rsidRPr="00C54DCC">
        <w:rPr>
          <w:color w:val="3370FF"/>
          <w:sz w:val="21"/>
          <w:szCs w:val="21"/>
          <w:lang w:eastAsia="zh-TW"/>
        </w:rPr>
        <w:t>分首從，得財不得財。</w:t>
      </w:r>
    </w:p>
    <w:p w14:paraId="2CC32D7E" w14:textId="77777777" w:rsidR="00C54DCC" w:rsidRPr="00C54DCC" w:rsidRDefault="00C54DCC" w:rsidP="00C54DCC">
      <w:pPr>
        <w:pStyle w:val="Normalweb"/>
        <w:rPr>
          <w:lang w:eastAsia="zh-TW"/>
        </w:rPr>
      </w:pPr>
      <w:r w:rsidRPr="00C54DCC">
        <w:rPr>
          <w:lang w:eastAsia="zh-TW"/>
        </w:rPr>
        <w:t>其竊盜事主知覺，棄財逃走，事主追逐，因而拒捕者，自依罪人拒捕律科罪。</w:t>
      </w:r>
      <w:r w:rsidRPr="00C54DCC">
        <w:rPr>
          <w:color w:val="3370FF"/>
          <w:sz w:val="21"/>
          <w:szCs w:val="21"/>
          <w:lang w:eastAsia="zh-TW"/>
        </w:rPr>
        <w:t>於竊盜不得財本罪上加二等，杖七十；毆人至折傷以上，絞；殺人者，斬。為從，各減一等。</w:t>
      </w:r>
    </w:p>
    <w:p w14:paraId="56B51356" w14:textId="77777777" w:rsidR="00C54DCC" w:rsidRPr="00C54DCC" w:rsidRDefault="00C54DCC" w:rsidP="00C54DCC">
      <w:pPr>
        <w:pStyle w:val="Normalweb"/>
        <w:rPr>
          <w:lang w:eastAsia="zh-TW"/>
        </w:rPr>
      </w:pPr>
      <w:r w:rsidRPr="00C54DCC">
        <w:rPr>
          <w:color w:val="3370FF"/>
          <w:sz w:val="21"/>
          <w:szCs w:val="21"/>
          <w:lang w:eastAsia="zh-TW"/>
        </w:rPr>
        <w:t>凡強盜自首不實不盡，只宜以名例自首律內至死減等科之，不可以不應從重科斷。竊盜傷人自首者，但免其盜罪，仍依鬥毆傷人律論</w:t>
      </w:r>
    </w:p>
    <w:p w14:paraId="7BB3BEE7" w14:textId="77777777" w:rsidR="007306E6" w:rsidRDefault="001D66E1">
      <w:pPr>
        <w:rPr>
          <w:lang w:eastAsia="zh-TW"/>
        </w:rPr>
      </w:pPr>
    </w:p>
    <w:p w14:paraId="39AF9D01" w14:textId="77777777" w:rsidR="00C54DCC" w:rsidRDefault="00C54DCC">
      <w:pPr>
        <w:rPr>
          <w:lang w:eastAsia="zh-TW"/>
        </w:rPr>
      </w:pPr>
    </w:p>
    <w:p w14:paraId="2126F739" w14:textId="2F942BC5" w:rsidR="00C54DCC" w:rsidRDefault="00C54DCC">
      <w:pPr>
        <w:rPr>
          <w:lang w:eastAsia="zh-TW"/>
        </w:rPr>
      </w:pPr>
      <w:r w:rsidRPr="00C54DCC">
        <w:rPr>
          <w:lang w:eastAsia="zh-TW"/>
        </w:rPr>
        <w:t>Pour tout cas de vol avec violence déjà accompli, mais sans obtention de valeur : pour tous, 100 coups de bâton</w:t>
      </w:r>
      <w:r w:rsidR="009522DF">
        <w:rPr>
          <w:lang w:eastAsia="zh-TW"/>
        </w:rPr>
        <w:t xml:space="preserve">, exil à </w:t>
      </w:r>
      <w:proofErr w:type="gramStart"/>
      <w:r w:rsidR="009522DF">
        <w:rPr>
          <w:lang w:eastAsia="zh-TW"/>
        </w:rPr>
        <w:t>trois mille li</w:t>
      </w:r>
      <w:proofErr w:type="gramEnd"/>
      <w:r w:rsidR="009522DF">
        <w:rPr>
          <w:lang w:eastAsia="zh-TW"/>
        </w:rPr>
        <w:t>. Mais dès lors qu’</w:t>
      </w:r>
      <w:r w:rsidRPr="00C54DCC">
        <w:rPr>
          <w:lang w:eastAsia="zh-TW"/>
        </w:rPr>
        <w:t>il y a eu obtention de valeurs</w:t>
      </w:r>
      <w:r>
        <w:rPr>
          <w:lang w:eastAsia="zh-TW"/>
        </w:rPr>
        <w:t xml:space="preserve"> </w:t>
      </w:r>
      <w:r w:rsidRPr="00C54DCC">
        <w:rPr>
          <w:color w:val="0070C0"/>
          <w:lang w:eastAsia="zh-TW"/>
        </w:rPr>
        <w:t>d’une victime</w:t>
      </w:r>
      <w:r>
        <w:rPr>
          <w:lang w:eastAsia="zh-TW"/>
        </w:rPr>
        <w:t xml:space="preserve">, </w:t>
      </w:r>
      <w:r w:rsidRPr="00C54DCC">
        <w:rPr>
          <w:lang w:eastAsia="zh-TW"/>
        </w:rPr>
        <w:t xml:space="preserve">sans distinction d’auteur principal ou secondaire : pour tous, décapitation. </w:t>
      </w:r>
      <w:r>
        <w:rPr>
          <w:lang w:eastAsia="zh-TW"/>
        </w:rPr>
        <w:t xml:space="preserve">Même ceux qui n’ont pas eu leur part du gain illicite, incriminer quand même. Quant à celui qui a établi le plan sans prendre part à l’action ni avoir de part au gain illicite : 100 coups de bâton, exil à </w:t>
      </w:r>
      <w:proofErr w:type="gramStart"/>
      <w:r>
        <w:rPr>
          <w:lang w:eastAsia="zh-TW"/>
        </w:rPr>
        <w:t>trois mille li</w:t>
      </w:r>
      <w:proofErr w:type="gramEnd"/>
      <w:r>
        <w:rPr>
          <w:lang w:eastAsia="zh-TW"/>
        </w:rPr>
        <w:t xml:space="preserve">. </w:t>
      </w:r>
      <w:r w:rsidR="00B83A8D">
        <w:rPr>
          <w:lang w:eastAsia="zh-TW"/>
        </w:rPr>
        <w:t>Pour le compagnon de vol ( </w:t>
      </w:r>
      <w:r w:rsidR="00B83A8D" w:rsidRPr="00C54DCC">
        <w:rPr>
          <w:color w:val="3370FF"/>
          <w:sz w:val="21"/>
          <w:szCs w:val="21"/>
          <w:lang w:eastAsia="zh-TW"/>
        </w:rPr>
        <w:t>夥盜</w:t>
      </w:r>
      <w:r w:rsidR="00B83A8D" w:rsidRPr="00B83A8D">
        <w:rPr>
          <w:color w:val="3370FF"/>
          <w:sz w:val="21"/>
          <w:szCs w:val="21"/>
          <w:lang w:eastAsia="zh-TW"/>
        </w:rPr>
        <w:t xml:space="preserve"> l</w:t>
      </w:r>
      <w:r w:rsidR="00B83A8D">
        <w:rPr>
          <w:lang w:eastAsia="zh-TW"/>
        </w:rPr>
        <w:t xml:space="preserve">? </w:t>
      </w:r>
      <w:proofErr w:type="gramStart"/>
      <w:r w:rsidR="00B83A8D">
        <w:rPr>
          <w:lang w:eastAsia="zh-TW"/>
        </w:rPr>
        <w:t>le</w:t>
      </w:r>
      <w:proofErr w:type="gramEnd"/>
      <w:r w:rsidR="00B83A8D">
        <w:rPr>
          <w:lang w:eastAsia="zh-TW"/>
        </w:rPr>
        <w:t xml:space="preserve"> membre de la bande)</w:t>
      </w:r>
      <w:r w:rsidR="001F3CF8">
        <w:rPr>
          <w:lang w:eastAsia="zh-TW"/>
        </w:rPr>
        <w:t xml:space="preserve">, </w:t>
      </w:r>
      <w:r w:rsidR="00B83A8D">
        <w:rPr>
          <w:lang w:eastAsia="zh-TW"/>
        </w:rPr>
        <w:t xml:space="preserve">qui n’a </w:t>
      </w:r>
      <w:r w:rsidR="00CC6C07">
        <w:rPr>
          <w:lang w:eastAsia="zh-TW"/>
        </w:rPr>
        <w:t xml:space="preserve">pas </w:t>
      </w:r>
      <w:r w:rsidR="00B83A8D">
        <w:rPr>
          <w:lang w:eastAsia="zh-TW"/>
        </w:rPr>
        <w:t>pris part à</w:t>
      </w:r>
      <w:r w:rsidR="001F3CF8">
        <w:rPr>
          <w:lang w:eastAsia="zh-TW"/>
        </w:rPr>
        <w:t xml:space="preserve"> l’action ni </w:t>
      </w:r>
      <w:r w:rsidR="00B83A8D">
        <w:rPr>
          <w:lang w:eastAsia="zh-TW"/>
        </w:rPr>
        <w:t>eu de part du gain illicite : 100 coups de bâton.</w:t>
      </w:r>
    </w:p>
    <w:p w14:paraId="6EE70099" w14:textId="77777777" w:rsidR="009522DF" w:rsidRDefault="009522DF" w:rsidP="009522DF">
      <w:pPr>
        <w:rPr>
          <w:lang w:eastAsia="zh-TW"/>
        </w:rPr>
      </w:pPr>
      <w:r>
        <w:rPr>
          <w:lang w:eastAsia="zh-TW"/>
        </w:rPr>
        <w:t xml:space="preserve">Si c’est en droguant ou intoxicant les gens qu’ils cherchent à s’emparer de valeurs : même sentence </w:t>
      </w:r>
      <w:r w:rsidRPr="009522DF">
        <w:rPr>
          <w:color w:val="0070C0"/>
          <w:sz w:val="20"/>
          <w:szCs w:val="20"/>
          <w:lang w:eastAsia="zh-TW"/>
        </w:rPr>
        <w:t xml:space="preserve">dès </w:t>
      </w:r>
      <w:r>
        <w:rPr>
          <w:color w:val="0070C0"/>
          <w:lang w:eastAsia="zh-TW"/>
        </w:rPr>
        <w:t xml:space="preserve">lors </w:t>
      </w:r>
      <w:r w:rsidRPr="009522DF">
        <w:rPr>
          <w:color w:val="0070C0"/>
          <w:sz w:val="20"/>
          <w:szCs w:val="20"/>
          <w:lang w:eastAsia="zh-TW"/>
        </w:rPr>
        <w:t xml:space="preserve">qu’il y a eu obtention de </w:t>
      </w:r>
      <w:r>
        <w:rPr>
          <w:color w:val="0070C0"/>
          <w:lang w:eastAsia="zh-TW"/>
        </w:rPr>
        <w:t>valeurs</w:t>
      </w:r>
      <w:r w:rsidRPr="009522DF">
        <w:rPr>
          <w:color w:val="0070C0"/>
          <w:sz w:val="20"/>
          <w:szCs w:val="20"/>
          <w:lang w:eastAsia="zh-TW"/>
        </w:rPr>
        <w:t> : pour tous, décapitation.</w:t>
      </w:r>
      <w:r w:rsidRPr="009522DF">
        <w:rPr>
          <w:color w:val="0070C0"/>
          <w:lang w:eastAsia="zh-TW"/>
        </w:rPr>
        <w:t xml:space="preserve"> </w:t>
      </w:r>
    </w:p>
    <w:p w14:paraId="2F0EE4F2" w14:textId="7E7EABA6" w:rsidR="009522DF" w:rsidRDefault="009522DF">
      <w:pPr>
        <w:rPr>
          <w:lang w:eastAsia="zh-TW"/>
        </w:rPr>
      </w:pPr>
      <w:r>
        <w:rPr>
          <w:lang w:eastAsia="zh-TW"/>
        </w:rPr>
        <w:t xml:space="preserve">Si au cours d’un vol furtif, il y a résistance à l’arrestation, homicide ou blessure : pour tous, décapitation </w:t>
      </w:r>
      <w:r w:rsidRPr="00CC6C07">
        <w:rPr>
          <w:color w:val="00B0F0"/>
          <w:sz w:val="20"/>
          <w:szCs w:val="20"/>
          <w:lang w:eastAsia="zh-TW"/>
        </w:rPr>
        <w:t>APAA. Qu’il y ait ou non obtention de valeurs : pour tous, décapitation. Il faut bien observer les mots « au cours de »</w:t>
      </w:r>
      <w:r>
        <w:rPr>
          <w:lang w:eastAsia="zh-TW"/>
        </w:rPr>
        <w:t xml:space="preserve">. Si </w:t>
      </w:r>
      <w:r w:rsidR="00030776">
        <w:rPr>
          <w:lang w:eastAsia="zh-TW"/>
        </w:rPr>
        <w:t>le vol est cause d’une</w:t>
      </w:r>
      <w:r>
        <w:rPr>
          <w:lang w:eastAsia="zh-TW"/>
        </w:rPr>
        <w:t xml:space="preserve"> relation sexuelle illicite</w:t>
      </w:r>
      <w:r w:rsidR="00030776">
        <w:rPr>
          <w:lang w:eastAsia="zh-TW"/>
        </w:rPr>
        <w:t xml:space="preserve"> (viol ?), la sentence est </w:t>
      </w:r>
      <w:r w:rsidR="00CC6C07">
        <w:rPr>
          <w:lang w:eastAsia="zh-TW"/>
        </w:rPr>
        <w:t>encore</w:t>
      </w:r>
      <w:r w:rsidR="00030776">
        <w:rPr>
          <w:lang w:eastAsia="zh-TW"/>
        </w:rPr>
        <w:t xml:space="preserve"> la même. </w:t>
      </w:r>
      <w:r w:rsidR="00030776" w:rsidRPr="008E5BAC">
        <w:rPr>
          <w:color w:val="00B0F0"/>
          <w:sz w:val="20"/>
          <w:szCs w:val="20"/>
          <w:lang w:eastAsia="zh-TW"/>
        </w:rPr>
        <w:t>Que la relation sexuelle illicite ait été ac</w:t>
      </w:r>
      <w:r w:rsidR="00CC6C07" w:rsidRPr="008E5BAC">
        <w:rPr>
          <w:color w:val="00B0F0"/>
          <w:sz w:val="20"/>
          <w:szCs w:val="20"/>
          <w:lang w:eastAsia="zh-TW"/>
        </w:rPr>
        <w:t>c</w:t>
      </w:r>
      <w:r w:rsidR="008E5BAC">
        <w:rPr>
          <w:color w:val="00B0F0"/>
          <w:sz w:val="20"/>
          <w:szCs w:val="20"/>
          <w:lang w:eastAsia="zh-TW"/>
        </w:rPr>
        <w:t xml:space="preserve">omplie ou non, </w:t>
      </w:r>
      <w:r w:rsidR="00030776" w:rsidRPr="008E5BAC">
        <w:rPr>
          <w:color w:val="00B0F0"/>
          <w:sz w:val="20"/>
          <w:szCs w:val="20"/>
          <w:lang w:eastAsia="zh-TW"/>
        </w:rPr>
        <w:t>sans distinction d’auteur principal ou secondaire</w:t>
      </w:r>
      <w:r w:rsidR="00030776">
        <w:rPr>
          <w:lang w:eastAsia="zh-TW"/>
        </w:rPr>
        <w:t xml:space="preserve">. Les gens associés au vol qui n’y ont pas aidé </w:t>
      </w:r>
      <w:r w:rsidR="008E5BAC">
        <w:rPr>
          <w:lang w:eastAsia="zh-TW"/>
        </w:rPr>
        <w:t>au départ</w:t>
      </w:r>
      <w:r w:rsidR="00EE4B4A">
        <w:rPr>
          <w:lang w:eastAsia="zh-TW"/>
        </w:rPr>
        <w:t xml:space="preserve">, qui n’ont </w:t>
      </w:r>
      <w:r w:rsidR="008E5BAC">
        <w:rPr>
          <w:lang w:eastAsia="zh-TW"/>
        </w:rPr>
        <w:t xml:space="preserve">pas </w:t>
      </w:r>
      <w:r w:rsidR="00EE4B4A">
        <w:rPr>
          <w:lang w:eastAsia="zh-TW"/>
        </w:rPr>
        <w:t xml:space="preserve">été au courant des faits de résistance à l’arrestation ou de relation sexuelle illicite </w:t>
      </w:r>
      <w:r w:rsidR="00EE4B4A" w:rsidRPr="00EE4B4A">
        <w:rPr>
          <w:color w:val="4472C4" w:themeColor="accent1"/>
          <w:sz w:val="22"/>
          <w:szCs w:val="22"/>
          <w:lang w:eastAsia="zh-TW"/>
        </w:rPr>
        <w:t>cela doit être bien établi par l’enquête</w:t>
      </w:r>
      <w:r w:rsidR="00EE4B4A" w:rsidRPr="00EE4B4A">
        <w:rPr>
          <w:color w:val="4472C4" w:themeColor="accent1"/>
          <w:lang w:eastAsia="zh-TW"/>
        </w:rPr>
        <w:t xml:space="preserve"> </w:t>
      </w:r>
      <w:r w:rsidR="00EE4B4A">
        <w:rPr>
          <w:lang w:eastAsia="zh-TW"/>
        </w:rPr>
        <w:t xml:space="preserve">sont inculpés seulement pour « vol furtif » </w:t>
      </w:r>
      <w:r w:rsidR="00EE4B4A" w:rsidRPr="00EE4B4A">
        <w:rPr>
          <w:color w:val="4472C4" w:themeColor="accent1"/>
          <w:sz w:val="22"/>
          <w:szCs w:val="22"/>
          <w:lang w:eastAsia="zh-TW"/>
        </w:rPr>
        <w:t>distinguer entre auteur principal et secondaire, obtention de valeurs ou non.</w:t>
      </w:r>
      <w:r w:rsidR="00EE4B4A" w:rsidRPr="00EE4B4A">
        <w:rPr>
          <w:color w:val="4472C4" w:themeColor="accent1"/>
          <w:lang w:eastAsia="zh-TW"/>
        </w:rPr>
        <w:t xml:space="preserve"> </w:t>
      </w:r>
    </w:p>
    <w:p w14:paraId="6971D906" w14:textId="77777777" w:rsidR="00B83A8D" w:rsidRDefault="00B83A8D">
      <w:pPr>
        <w:rPr>
          <w:lang w:eastAsia="zh-TW"/>
        </w:rPr>
      </w:pPr>
    </w:p>
    <w:p w14:paraId="4F9FB576" w14:textId="0925A03D" w:rsidR="00C54DCC" w:rsidRDefault="00EE4B4A">
      <w:pPr>
        <w:rPr>
          <w:color w:val="4472C4" w:themeColor="accent1"/>
          <w:lang w:eastAsia="zh-TW"/>
        </w:rPr>
      </w:pPr>
      <w:r>
        <w:rPr>
          <w:lang w:eastAsia="zh-TW"/>
        </w:rPr>
        <w:t xml:space="preserve">Quant à ceux qui lors d’un vol furtif sont surpris par la victime, prennent la fuite en abandonnant leur butin, </w:t>
      </w:r>
      <w:r w:rsidR="008E5BAC">
        <w:rPr>
          <w:lang w:eastAsia="zh-TW"/>
        </w:rPr>
        <w:t xml:space="preserve">sont </w:t>
      </w:r>
      <w:r>
        <w:rPr>
          <w:lang w:eastAsia="zh-TW"/>
        </w:rPr>
        <w:t>poursuivis par la victime, et de ce fait résistent à l’arrestation : établir leur sentence conformément à l’article « crimine</w:t>
      </w:r>
      <w:r w:rsidR="008E5BAC">
        <w:rPr>
          <w:lang w:eastAsia="zh-TW"/>
        </w:rPr>
        <w:t>l résistant à son arrestation »</w:t>
      </w:r>
      <w:r w:rsidR="008E5BAC">
        <w:rPr>
          <w:color w:val="4472C4" w:themeColor="accent1"/>
          <w:sz w:val="20"/>
          <w:szCs w:val="20"/>
          <w:lang w:eastAsia="zh-TW"/>
        </w:rPr>
        <w:t xml:space="preserve"> aggraver </w:t>
      </w:r>
      <w:r w:rsidRPr="00390433">
        <w:rPr>
          <w:color w:val="4472C4" w:themeColor="accent1"/>
          <w:sz w:val="20"/>
          <w:szCs w:val="20"/>
          <w:lang w:eastAsia="zh-TW"/>
        </w:rPr>
        <w:t xml:space="preserve">de deux degrés la sentence prévue pour </w:t>
      </w:r>
      <w:r w:rsidR="00390433" w:rsidRPr="00390433">
        <w:rPr>
          <w:color w:val="4472C4" w:themeColor="accent1"/>
          <w:sz w:val="20"/>
          <w:szCs w:val="20"/>
          <w:lang w:eastAsia="zh-TW"/>
        </w:rPr>
        <w:t xml:space="preserve">vol furtif avec obtention de valeur : 70 coups de bâton </w:t>
      </w:r>
      <w:r w:rsidR="00390433" w:rsidRPr="008E5BAC">
        <w:rPr>
          <w:color w:val="FF0000"/>
          <w:sz w:val="20"/>
          <w:szCs w:val="20"/>
          <w:lang w:eastAsia="zh-TW"/>
        </w:rPr>
        <w:t>(ah bon, c’est tout ?</w:t>
      </w:r>
      <w:r w:rsidR="00390433" w:rsidRPr="00390433">
        <w:rPr>
          <w:color w:val="4472C4" w:themeColor="accent1"/>
          <w:sz w:val="20"/>
          <w:szCs w:val="20"/>
          <w:lang w:eastAsia="zh-TW"/>
        </w:rPr>
        <w:t>) ; frapper quelqu’un jusqu’à causer fracture, blessure ou plus grave : strangulation ; tuer quelqu’un : décapitation. Pour les auteurs secon</w:t>
      </w:r>
      <w:r w:rsidR="008E5BAC">
        <w:rPr>
          <w:color w:val="4472C4" w:themeColor="accent1"/>
          <w:sz w:val="20"/>
          <w:szCs w:val="20"/>
          <w:lang w:eastAsia="zh-TW"/>
        </w:rPr>
        <w:t xml:space="preserve">daires, réduire d’un </w:t>
      </w:r>
      <w:r w:rsidR="00390433" w:rsidRPr="00390433">
        <w:rPr>
          <w:color w:val="4472C4" w:themeColor="accent1"/>
          <w:sz w:val="20"/>
          <w:szCs w:val="20"/>
          <w:lang w:eastAsia="zh-TW"/>
        </w:rPr>
        <w:t>degré.</w:t>
      </w:r>
    </w:p>
    <w:p w14:paraId="3D015A7E" w14:textId="0CB359F0" w:rsidR="00390433" w:rsidRPr="008E5BAC" w:rsidRDefault="00390433">
      <w:pPr>
        <w:rPr>
          <w:color w:val="4472C4" w:themeColor="accent1"/>
          <w:sz w:val="20"/>
          <w:szCs w:val="20"/>
          <w:lang w:eastAsia="zh-TW"/>
        </w:rPr>
      </w:pPr>
      <w:r w:rsidRPr="008E5BAC">
        <w:rPr>
          <w:color w:val="4472C4" w:themeColor="accent1"/>
          <w:sz w:val="20"/>
          <w:szCs w:val="20"/>
          <w:lang w:eastAsia="zh-TW"/>
        </w:rPr>
        <w:t xml:space="preserve">Pour tout cas ou des auteurs de vol avec violence se dénoncent sans dire toute l’entière vérité, il n’y a qu’à (on ne peut que) établir le quantum de la peine en abaissant d’un degré la disposition prévue </w:t>
      </w:r>
      <w:r w:rsidR="00403780" w:rsidRPr="008E5BAC">
        <w:rPr>
          <w:color w:val="4472C4" w:themeColor="accent1"/>
          <w:sz w:val="20"/>
          <w:szCs w:val="20"/>
          <w:lang w:eastAsia="zh-TW"/>
        </w:rPr>
        <w:t xml:space="preserve">pour ceux qui ont commis un homicide </w:t>
      </w:r>
      <w:r w:rsidR="008E5BAC">
        <w:rPr>
          <w:color w:val="4472C4" w:themeColor="accent1"/>
          <w:sz w:val="20"/>
          <w:szCs w:val="20"/>
          <w:lang w:eastAsia="zh-TW"/>
        </w:rPr>
        <w:t>par</w:t>
      </w:r>
      <w:r w:rsidRPr="008E5BAC">
        <w:rPr>
          <w:color w:val="4472C4" w:themeColor="accent1"/>
          <w:sz w:val="20"/>
          <w:szCs w:val="20"/>
          <w:lang w:eastAsia="zh-TW"/>
        </w:rPr>
        <w:t xml:space="preserve"> l’article </w:t>
      </w:r>
      <w:r w:rsidR="00403780" w:rsidRPr="008E5BAC">
        <w:rPr>
          <w:color w:val="4472C4" w:themeColor="accent1"/>
          <w:sz w:val="20"/>
          <w:szCs w:val="20"/>
          <w:lang w:eastAsia="zh-TW"/>
        </w:rPr>
        <w:t>« criminel se livrant » dans</w:t>
      </w:r>
      <w:r w:rsidR="008E5BAC">
        <w:rPr>
          <w:color w:val="4472C4" w:themeColor="accent1"/>
          <w:sz w:val="20"/>
          <w:szCs w:val="20"/>
          <w:lang w:eastAsia="zh-TW"/>
        </w:rPr>
        <w:t xml:space="preserve"> la partie des « noms et </w:t>
      </w:r>
      <w:r w:rsidRPr="008E5BAC">
        <w:rPr>
          <w:color w:val="4472C4" w:themeColor="accent1"/>
          <w:sz w:val="20"/>
          <w:szCs w:val="20"/>
          <w:lang w:eastAsia="zh-TW"/>
        </w:rPr>
        <w:t>règles »</w:t>
      </w:r>
      <w:r w:rsidR="00403780" w:rsidRPr="008E5BAC">
        <w:rPr>
          <w:color w:val="4472C4" w:themeColor="accent1"/>
          <w:sz w:val="20"/>
          <w:szCs w:val="20"/>
          <w:lang w:eastAsia="zh-TW"/>
        </w:rPr>
        <w:t>. Celui qui se dénonce pour avoir causé des bles</w:t>
      </w:r>
      <w:r w:rsidR="008E5BAC">
        <w:rPr>
          <w:color w:val="4472C4" w:themeColor="accent1"/>
          <w:sz w:val="20"/>
          <w:szCs w:val="20"/>
          <w:lang w:eastAsia="zh-TW"/>
        </w:rPr>
        <w:t xml:space="preserve">sures au cours d’un vol furtif </w:t>
      </w:r>
      <w:r w:rsidR="00403780" w:rsidRPr="008E5BAC">
        <w:rPr>
          <w:color w:val="4472C4" w:themeColor="accent1"/>
          <w:sz w:val="20"/>
          <w:szCs w:val="20"/>
          <w:lang w:eastAsia="zh-TW"/>
        </w:rPr>
        <w:t>n’est exempté que de la sentence pour vol, mais il est quand même condamné au titre de l’article « blessures causées au cours d’une rixe ou par des coups ».</w:t>
      </w:r>
    </w:p>
    <w:p w14:paraId="77F95974" w14:textId="77777777" w:rsidR="00C54DCC" w:rsidRDefault="00C54DCC">
      <w:pPr>
        <w:rPr>
          <w:lang w:eastAsia="zh-TW"/>
        </w:rPr>
      </w:pPr>
    </w:p>
    <w:p w14:paraId="33E9B47F" w14:textId="77777777" w:rsidR="00C54DCC" w:rsidRDefault="00C54DCC">
      <w:pPr>
        <w:rPr>
          <w:lang w:eastAsia="zh-TW"/>
        </w:rPr>
      </w:pPr>
    </w:p>
    <w:p w14:paraId="27BE41A2" w14:textId="77777777" w:rsidR="00C54DCC" w:rsidRDefault="00C54DCC">
      <w:pPr>
        <w:rPr>
          <w:lang w:eastAsia="zh-TW"/>
        </w:rPr>
      </w:pPr>
    </w:p>
    <w:p w14:paraId="48E8A0FE" w14:textId="77777777" w:rsidR="00C54DCC" w:rsidRDefault="00C54DCC">
      <w:pPr>
        <w:rPr>
          <w:lang w:eastAsia="zh-TW"/>
        </w:rPr>
      </w:pPr>
      <w:r>
        <w:rPr>
          <w:lang w:eastAsia="zh-TW"/>
        </w:rPr>
        <w:lastRenderedPageBreak/>
        <w:t>Glossaire :</w:t>
      </w:r>
    </w:p>
    <w:p w14:paraId="1F751282" w14:textId="77777777" w:rsidR="00C54DCC" w:rsidRDefault="00C54DCC">
      <w:pPr>
        <w:rPr>
          <w:lang w:eastAsia="zh-TW"/>
        </w:rPr>
      </w:pPr>
    </w:p>
    <w:p w14:paraId="6953BDB8" w14:textId="77777777" w:rsidR="00C54DCC" w:rsidRPr="00C54DCC" w:rsidRDefault="001D66E1" w:rsidP="00C54DCC">
      <w:pPr>
        <w:spacing w:before="60" w:after="60"/>
        <w:rPr>
          <w:sz w:val="27"/>
          <w:szCs w:val="27"/>
        </w:rPr>
      </w:pPr>
      <w:hyperlink r:id="rId4" w:history="1">
        <w:proofErr w:type="spellStart"/>
        <w:r w:rsidR="00C54DCC" w:rsidRPr="00C54DCC">
          <w:rPr>
            <w:color w:val="0000FF"/>
            <w:sz w:val="27"/>
            <w:szCs w:val="27"/>
            <w:u w:val="single"/>
          </w:rPr>
          <w:t>qiángdào</w:t>
        </w:r>
        <w:proofErr w:type="spellEnd"/>
      </w:hyperlink>
      <w:r w:rsidR="00C54DCC" w:rsidRPr="00C54DCC">
        <w:rPr>
          <w:sz w:val="27"/>
          <w:szCs w:val="27"/>
        </w:rPr>
        <w:t xml:space="preserve"> / </w:t>
      </w:r>
      <w:r w:rsidR="00C54DCC" w:rsidRPr="00C54DCC">
        <w:rPr>
          <w:sz w:val="27"/>
          <w:szCs w:val="27"/>
        </w:rPr>
        <w:t>強盜</w:t>
      </w:r>
      <w:r w:rsidR="00C54DCC" w:rsidRPr="00C54DCC">
        <w:br/>
        <w:t xml:space="preserve">[en] </w:t>
      </w:r>
      <w:proofErr w:type="spellStart"/>
      <w:r w:rsidR="00C54DCC" w:rsidRPr="00C54DCC">
        <w:t>robbery</w:t>
      </w:r>
      <w:proofErr w:type="spellEnd"/>
      <w:r w:rsidR="00C54DCC" w:rsidRPr="00C54DCC">
        <w:t xml:space="preserve"> [</w:t>
      </w:r>
      <w:proofErr w:type="spellStart"/>
      <w:r w:rsidR="00C54DCC" w:rsidRPr="00C54DCC">
        <w:t>fr</w:t>
      </w:r>
      <w:proofErr w:type="spellEnd"/>
      <w:r w:rsidR="00C54DCC" w:rsidRPr="00C54DCC">
        <w:t>] vol avec violence</w:t>
      </w:r>
    </w:p>
    <w:p w14:paraId="4CA23A66" w14:textId="77777777" w:rsidR="00C54DCC" w:rsidRDefault="00C54DCC" w:rsidP="00C54DCC">
      <w:proofErr w:type="spellStart"/>
      <w:proofErr w:type="gramStart"/>
      <w:r w:rsidRPr="00C54DCC">
        <w:rPr>
          <w:b/>
          <w:bCs/>
        </w:rPr>
        <w:t>Comments</w:t>
      </w:r>
      <w:proofErr w:type="spellEnd"/>
      <w:r w:rsidRPr="00C54DCC">
        <w:t>:</w:t>
      </w:r>
      <w:proofErr w:type="gramEnd"/>
      <w:r w:rsidRPr="00C54DCC">
        <w:t xml:space="preserve"> Vol commis avec violence, par opposition au vol « furtif », par habileté (</w:t>
      </w:r>
      <w:proofErr w:type="spellStart"/>
      <w:r w:rsidRPr="00C54DCC">
        <w:t>Anto</w:t>
      </w:r>
      <w:proofErr w:type="spellEnd"/>
      <w:r w:rsidRPr="00C54DCC">
        <w:t xml:space="preserve">. </w:t>
      </w:r>
      <w:r w:rsidRPr="00C54DCC">
        <w:rPr>
          <w:lang w:val="en"/>
        </w:rPr>
        <w:t>{</w:t>
      </w:r>
      <w:proofErr w:type="spellStart"/>
      <w:r w:rsidRPr="00C54DCC">
        <w:rPr>
          <w:lang w:val="en"/>
        </w:rPr>
        <w:t>qièdào</w:t>
      </w:r>
      <w:proofErr w:type="spellEnd"/>
      <w:r w:rsidRPr="00C54DCC">
        <w:rPr>
          <w:lang w:val="en"/>
        </w:rPr>
        <w:t>}).</w:t>
      </w:r>
      <w:r w:rsidRPr="00C54DCC">
        <w:rPr>
          <w:lang w:val="en"/>
        </w:rPr>
        <w:br/>
        <w:t xml:space="preserve">Point </w:t>
      </w:r>
      <w:proofErr w:type="spellStart"/>
      <w:r w:rsidRPr="00C54DCC">
        <w:rPr>
          <w:lang w:val="en"/>
        </w:rPr>
        <w:t>doct</w:t>
      </w:r>
      <w:proofErr w:type="spellEnd"/>
      <w:r w:rsidRPr="00C54DCC">
        <w:rPr>
          <w:lang w:val="en"/>
        </w:rPr>
        <w:t>. Robbery is the crime of taking or attempting to take something of value by force or threat of force and/or by putting the victim in fear.</w:t>
      </w:r>
      <w:r w:rsidRPr="00C54DCC">
        <w:rPr>
          <w:lang w:val="en"/>
        </w:rPr>
        <w:br/>
      </w:r>
      <w:r w:rsidRPr="00C54DCC">
        <w:t>Autres trad. « vol par force » (</w:t>
      </w:r>
      <w:proofErr w:type="spellStart"/>
      <w:r w:rsidRPr="00C54DCC">
        <w:t>Philastre</w:t>
      </w:r>
      <w:proofErr w:type="spellEnd"/>
      <w:r w:rsidRPr="00C54DCC">
        <w:t xml:space="preserve">) « </w:t>
      </w:r>
      <w:proofErr w:type="spellStart"/>
      <w:r w:rsidRPr="00C54DCC">
        <w:t>forcible</w:t>
      </w:r>
      <w:proofErr w:type="spellEnd"/>
      <w:r w:rsidRPr="00C54DCC">
        <w:t xml:space="preserve"> </w:t>
      </w:r>
      <w:proofErr w:type="spellStart"/>
      <w:r w:rsidRPr="00C54DCC">
        <w:t>theft</w:t>
      </w:r>
      <w:proofErr w:type="spellEnd"/>
      <w:r w:rsidRPr="00C54DCC">
        <w:t> » (Jones) ; « </w:t>
      </w:r>
      <w:proofErr w:type="spellStart"/>
      <w:r w:rsidRPr="00C54DCC">
        <w:t>forcible</w:t>
      </w:r>
      <w:proofErr w:type="spellEnd"/>
      <w:r w:rsidRPr="00C54DCC">
        <w:t xml:space="preserve"> </w:t>
      </w:r>
      <w:proofErr w:type="spellStart"/>
      <w:r w:rsidRPr="00C54DCC">
        <w:t>robbery</w:t>
      </w:r>
      <w:proofErr w:type="spellEnd"/>
      <w:r w:rsidRPr="00C54DCC">
        <w:t> » (JYL) semble un pléonasme.</w:t>
      </w:r>
    </w:p>
    <w:p w14:paraId="06A72CE1" w14:textId="77777777" w:rsidR="00C54DCC" w:rsidRPr="00CC6C07" w:rsidRDefault="001D66E1" w:rsidP="00C54DCC">
      <w:pPr>
        <w:spacing w:before="60" w:after="60"/>
        <w:rPr>
          <w:lang w:val="en"/>
        </w:rPr>
      </w:pPr>
      <w:hyperlink r:id="rId5" w:history="1">
        <w:proofErr w:type="spellStart"/>
        <w:r w:rsidR="00C54DCC" w:rsidRPr="00C54DCC">
          <w:rPr>
            <w:color w:val="0000FF"/>
            <w:sz w:val="27"/>
            <w:szCs w:val="27"/>
            <w:u w:val="single"/>
            <w:lang w:val="en"/>
          </w:rPr>
          <w:t>shìzhǔ</w:t>
        </w:r>
        <w:proofErr w:type="spellEnd"/>
      </w:hyperlink>
      <w:r w:rsidR="00C54DCC" w:rsidRPr="00C54DCC">
        <w:rPr>
          <w:sz w:val="27"/>
          <w:szCs w:val="27"/>
          <w:lang w:val="en"/>
        </w:rPr>
        <w:t xml:space="preserve"> / </w:t>
      </w:r>
      <w:r w:rsidR="00C54DCC" w:rsidRPr="00C54DCC">
        <w:rPr>
          <w:sz w:val="27"/>
          <w:szCs w:val="27"/>
        </w:rPr>
        <w:t>事主</w:t>
      </w:r>
      <w:r w:rsidR="00C54DCC" w:rsidRPr="00C54DCC">
        <w:rPr>
          <w:lang w:val="en"/>
        </w:rPr>
        <w:br/>
        <w:t>[</w:t>
      </w:r>
      <w:proofErr w:type="spellStart"/>
      <w:r w:rsidR="00C54DCC" w:rsidRPr="00C54DCC">
        <w:rPr>
          <w:lang w:val="en"/>
        </w:rPr>
        <w:t>en</w:t>
      </w:r>
      <w:proofErr w:type="spellEnd"/>
      <w:r w:rsidR="00C54DCC" w:rsidRPr="00C54DCC">
        <w:rPr>
          <w:lang w:val="en"/>
        </w:rPr>
        <w:t>] the victim (lit. « the master of the case ») [</w:t>
      </w:r>
      <w:proofErr w:type="spellStart"/>
      <w:r w:rsidR="00C54DCC" w:rsidRPr="00C54DCC">
        <w:rPr>
          <w:lang w:val="en"/>
        </w:rPr>
        <w:t>fr</w:t>
      </w:r>
      <w:proofErr w:type="spellEnd"/>
      <w:r w:rsidR="00C54DCC" w:rsidRPr="00C54DCC">
        <w:rPr>
          <w:lang w:val="en"/>
        </w:rPr>
        <w:t xml:space="preserve">] la </w:t>
      </w:r>
      <w:proofErr w:type="spellStart"/>
      <w:r w:rsidR="00C54DCC" w:rsidRPr="00C54DCC">
        <w:rPr>
          <w:lang w:val="en"/>
        </w:rPr>
        <w:t>victime</w:t>
      </w:r>
      <w:proofErr w:type="spellEnd"/>
      <w:r w:rsidR="00C54DCC" w:rsidRPr="00C54DCC">
        <w:rPr>
          <w:lang w:val="en"/>
        </w:rPr>
        <w:t xml:space="preserve"> (lit. </w:t>
      </w:r>
      <w:r w:rsidR="00C54DCC" w:rsidRPr="00CC6C07">
        <w:rPr>
          <w:lang w:val="en"/>
        </w:rPr>
        <w:t xml:space="preserve">« le maître du </w:t>
      </w:r>
      <w:proofErr w:type="spellStart"/>
      <w:r w:rsidR="00C54DCC" w:rsidRPr="00CC6C07">
        <w:rPr>
          <w:lang w:val="en"/>
        </w:rPr>
        <w:t>cas</w:t>
      </w:r>
      <w:proofErr w:type="spellEnd"/>
      <w:r w:rsidR="00C54DCC" w:rsidRPr="00CC6C07">
        <w:rPr>
          <w:lang w:val="en"/>
        </w:rPr>
        <w:t xml:space="preserve"> »)</w:t>
      </w:r>
    </w:p>
    <w:p w14:paraId="567174B3" w14:textId="77777777" w:rsidR="009522DF" w:rsidRPr="00CC6C07" w:rsidRDefault="001D66E1" w:rsidP="009522DF">
      <w:pPr>
        <w:spacing w:before="60" w:after="60"/>
        <w:rPr>
          <w:sz w:val="27"/>
          <w:szCs w:val="27"/>
          <w:lang w:val="en"/>
        </w:rPr>
      </w:pPr>
      <w:hyperlink r:id="rId6" w:history="1">
        <w:proofErr w:type="spellStart"/>
        <w:r w:rsidR="009522DF" w:rsidRPr="00CC6C07">
          <w:rPr>
            <w:color w:val="0000FF"/>
            <w:sz w:val="27"/>
            <w:szCs w:val="27"/>
            <w:u w:val="single"/>
            <w:lang w:val="en"/>
          </w:rPr>
          <w:t>décái</w:t>
        </w:r>
        <w:proofErr w:type="spellEnd"/>
        <w:r w:rsidR="009522DF" w:rsidRPr="00CC6C07">
          <w:rPr>
            <w:color w:val="0000FF"/>
            <w:sz w:val="27"/>
            <w:szCs w:val="27"/>
            <w:u w:val="single"/>
            <w:lang w:val="en"/>
          </w:rPr>
          <w:t xml:space="preserve"> </w:t>
        </w:r>
        <w:proofErr w:type="spellStart"/>
        <w:r w:rsidR="009522DF" w:rsidRPr="00CC6C07">
          <w:rPr>
            <w:color w:val="0000FF"/>
            <w:sz w:val="27"/>
            <w:szCs w:val="27"/>
            <w:u w:val="single"/>
            <w:lang w:val="en"/>
          </w:rPr>
          <w:t>bù</w:t>
        </w:r>
        <w:proofErr w:type="spellEnd"/>
        <w:r w:rsidR="009522DF" w:rsidRPr="00CC6C07">
          <w:rPr>
            <w:color w:val="0000FF"/>
            <w:sz w:val="27"/>
            <w:szCs w:val="27"/>
            <w:u w:val="single"/>
            <w:lang w:val="en"/>
          </w:rPr>
          <w:t xml:space="preserve"> </w:t>
        </w:r>
        <w:proofErr w:type="spellStart"/>
        <w:r w:rsidR="009522DF" w:rsidRPr="00CC6C07">
          <w:rPr>
            <w:color w:val="0000FF"/>
            <w:sz w:val="27"/>
            <w:szCs w:val="27"/>
            <w:u w:val="single"/>
            <w:lang w:val="en"/>
          </w:rPr>
          <w:t>décái</w:t>
        </w:r>
        <w:proofErr w:type="spellEnd"/>
      </w:hyperlink>
      <w:r w:rsidR="009522DF" w:rsidRPr="00CC6C07">
        <w:rPr>
          <w:sz w:val="27"/>
          <w:szCs w:val="27"/>
          <w:lang w:val="en"/>
        </w:rPr>
        <w:t xml:space="preserve"> / </w:t>
      </w:r>
      <w:r w:rsidR="009522DF" w:rsidRPr="009522DF">
        <w:rPr>
          <w:sz w:val="27"/>
          <w:szCs w:val="27"/>
        </w:rPr>
        <w:t>得財不得財</w:t>
      </w:r>
      <w:r w:rsidR="009522DF" w:rsidRPr="00CC6C07">
        <w:rPr>
          <w:sz w:val="27"/>
          <w:szCs w:val="27"/>
          <w:lang w:val="en"/>
        </w:rPr>
        <w:t xml:space="preserve"> </w:t>
      </w:r>
      <w:r w:rsidR="009522DF" w:rsidRPr="00CC6C07">
        <w:rPr>
          <w:lang w:val="en"/>
        </w:rPr>
        <w:br/>
        <w:t>[</w:t>
      </w:r>
      <w:proofErr w:type="spellStart"/>
      <w:r w:rsidR="009522DF" w:rsidRPr="00CC6C07">
        <w:rPr>
          <w:lang w:val="en"/>
        </w:rPr>
        <w:t>fr</w:t>
      </w:r>
      <w:proofErr w:type="spellEnd"/>
      <w:r w:rsidR="009522DF" w:rsidRPr="00CC6C07">
        <w:rPr>
          <w:lang w:val="en"/>
        </w:rPr>
        <w:t xml:space="preserve">] avec </w:t>
      </w:r>
      <w:proofErr w:type="spellStart"/>
      <w:r w:rsidR="009522DF" w:rsidRPr="00CC6C07">
        <w:rPr>
          <w:lang w:val="en"/>
        </w:rPr>
        <w:t>ou</w:t>
      </w:r>
      <w:proofErr w:type="spellEnd"/>
      <w:r w:rsidR="009522DF" w:rsidRPr="00CC6C07">
        <w:rPr>
          <w:lang w:val="en"/>
        </w:rPr>
        <w:t xml:space="preserve"> sans </w:t>
      </w:r>
      <w:proofErr w:type="spellStart"/>
      <w:r w:rsidR="009522DF" w:rsidRPr="00CC6C07">
        <w:rPr>
          <w:lang w:val="en"/>
        </w:rPr>
        <w:t>obtention</w:t>
      </w:r>
      <w:proofErr w:type="spellEnd"/>
      <w:r w:rsidR="009522DF" w:rsidRPr="00CC6C07">
        <w:rPr>
          <w:lang w:val="en"/>
        </w:rPr>
        <w:t xml:space="preserve"> de </w:t>
      </w:r>
      <w:proofErr w:type="spellStart"/>
      <w:r w:rsidR="009522DF" w:rsidRPr="00CC6C07">
        <w:rPr>
          <w:lang w:val="en"/>
        </w:rPr>
        <w:t>biens</w:t>
      </w:r>
      <w:proofErr w:type="spellEnd"/>
      <w:r w:rsidR="009522DF" w:rsidRPr="00CC6C07">
        <w:rPr>
          <w:lang w:val="en"/>
        </w:rPr>
        <w:t xml:space="preserve">   </w:t>
      </w:r>
      <w:r w:rsidR="009522DF" w:rsidRPr="00CC6C07">
        <w:rPr>
          <w:color w:val="FF0000"/>
          <w:lang w:val="en"/>
        </w:rPr>
        <w:t xml:space="preserve">changer </w:t>
      </w:r>
      <w:proofErr w:type="spellStart"/>
      <w:r w:rsidR="009522DF" w:rsidRPr="00CC6C07">
        <w:rPr>
          <w:color w:val="FF0000"/>
          <w:lang w:val="en"/>
        </w:rPr>
        <w:t>en</w:t>
      </w:r>
      <w:proofErr w:type="spellEnd"/>
      <w:r w:rsidR="009522DF" w:rsidRPr="00CC6C07">
        <w:rPr>
          <w:color w:val="FF0000"/>
          <w:lang w:val="en"/>
        </w:rPr>
        <w:t xml:space="preserve"> « </w:t>
      </w:r>
      <w:proofErr w:type="spellStart"/>
      <w:r w:rsidR="009522DF" w:rsidRPr="00CC6C07">
        <w:rPr>
          <w:color w:val="FF0000"/>
          <w:lang w:val="en"/>
        </w:rPr>
        <w:t>obtention</w:t>
      </w:r>
      <w:proofErr w:type="spellEnd"/>
      <w:r w:rsidR="009522DF" w:rsidRPr="00CC6C07">
        <w:rPr>
          <w:color w:val="FF0000"/>
          <w:lang w:val="en"/>
        </w:rPr>
        <w:t xml:space="preserve"> de </w:t>
      </w:r>
      <w:proofErr w:type="spellStart"/>
      <w:r w:rsidR="009522DF" w:rsidRPr="00CC6C07">
        <w:rPr>
          <w:color w:val="FF0000"/>
          <w:lang w:val="en"/>
        </w:rPr>
        <w:t>valeurs</w:t>
      </w:r>
      <w:proofErr w:type="spellEnd"/>
      <w:r w:rsidR="009522DF" w:rsidRPr="00CC6C07">
        <w:rPr>
          <w:color w:val="FF0000"/>
          <w:lang w:val="en"/>
        </w:rPr>
        <w:t> » ?</w:t>
      </w:r>
    </w:p>
    <w:p w14:paraId="5996E35F" w14:textId="77777777" w:rsidR="009522DF" w:rsidRDefault="009522DF" w:rsidP="009522DF">
      <w:proofErr w:type="spellStart"/>
      <w:proofErr w:type="gramStart"/>
      <w:r w:rsidRPr="009522DF">
        <w:rPr>
          <w:b/>
          <w:bCs/>
        </w:rPr>
        <w:t>Comments</w:t>
      </w:r>
      <w:proofErr w:type="spellEnd"/>
      <w:r w:rsidRPr="009522DF">
        <w:t>:</w:t>
      </w:r>
      <w:proofErr w:type="gramEnd"/>
      <w:r w:rsidRPr="009522DF">
        <w:t xml:space="preserve"> Com. Terme qualifiant le résultat d’un vol afin de déterminer la peine en fonction du butin obtenu ou non.</w:t>
      </w:r>
    </w:p>
    <w:p w14:paraId="31A40F69" w14:textId="77777777" w:rsidR="00E871D2" w:rsidRDefault="00E871D2" w:rsidP="009522DF"/>
    <w:p w14:paraId="474AA529" w14:textId="7DF00D40" w:rsidR="00E871D2" w:rsidRPr="00E871D2" w:rsidRDefault="00E871D2" w:rsidP="00CC6C07">
      <w:pPr>
        <w:outlineLvl w:val="0"/>
        <w:rPr>
          <w:rStyle w:val="dicpy"/>
          <w:rFonts w:eastAsia="Times New Roman"/>
          <w:color w:val="FF0000"/>
        </w:rPr>
      </w:pPr>
      <w:proofErr w:type="spellStart"/>
      <w:r w:rsidRPr="00E871D2">
        <w:rPr>
          <w:rStyle w:val="dicpy"/>
          <w:rFonts w:eastAsia="Times New Roman"/>
          <w:color w:val="FF0000"/>
        </w:rPr>
        <w:t>Dàn</w:t>
      </w:r>
      <w:proofErr w:type="spellEnd"/>
      <w:r w:rsidRPr="00E871D2">
        <w:rPr>
          <w:rStyle w:val="dicpy"/>
          <w:rFonts w:eastAsia="Times New Roman"/>
          <w:color w:val="FF0000"/>
        </w:rPr>
        <w:t> </w:t>
      </w:r>
      <w:r w:rsidRPr="00E871D2">
        <w:rPr>
          <w:color w:val="FF0000"/>
          <w:lang w:eastAsia="zh-TW"/>
        </w:rPr>
        <w:t>但</w:t>
      </w:r>
      <w:r w:rsidRPr="00E871D2">
        <w:rPr>
          <w:rStyle w:val="dicpy"/>
          <w:rFonts w:eastAsia="Times New Roman"/>
          <w:color w:val="FF0000"/>
        </w:rPr>
        <w:t>: dès lors que, il suffit que</w:t>
      </w:r>
    </w:p>
    <w:p w14:paraId="15AEECBD" w14:textId="51EA423C" w:rsidR="00E871D2" w:rsidRDefault="00E871D2" w:rsidP="00E871D2">
      <w:pPr>
        <w:rPr>
          <w:rStyle w:val="dicpy"/>
          <w:rFonts w:eastAsia="Times New Roman"/>
        </w:rPr>
      </w:pPr>
      <w:proofErr w:type="spellStart"/>
      <w:r>
        <w:rPr>
          <w:rStyle w:val="dicpy"/>
          <w:rFonts w:eastAsia="Times New Roman"/>
        </w:rPr>
        <w:t>Comm</w:t>
      </w:r>
      <w:proofErr w:type="spellEnd"/>
      <w:r>
        <w:rPr>
          <w:rStyle w:val="dicpy"/>
          <w:rFonts w:eastAsia="Times New Roman"/>
        </w:rPr>
        <w:t xml:space="preserve">. </w:t>
      </w:r>
    </w:p>
    <w:p w14:paraId="0C9DA661" w14:textId="607989B0" w:rsidR="009522DF" w:rsidRPr="00E871D2" w:rsidRDefault="00E871D2" w:rsidP="00E871D2">
      <w:pPr>
        <w:rPr>
          <w:rFonts w:eastAsia="Times New Roman"/>
        </w:rPr>
      </w:pPr>
      <w:r>
        <w:rPr>
          <w:rStyle w:val="dicpy"/>
          <w:rFonts w:eastAsia="Times New Roman"/>
        </w:rPr>
        <w:t xml:space="preserve">A revoir avec d’autres caractères du même genre, tels qu’exposés dans </w:t>
      </w:r>
      <w:proofErr w:type="spellStart"/>
      <w:r>
        <w:rPr>
          <w:rStyle w:val="dicpy"/>
          <w:rFonts w:eastAsia="Times New Roman"/>
        </w:rPr>
        <w:t>Philastre</w:t>
      </w:r>
      <w:proofErr w:type="spellEnd"/>
      <w:r>
        <w:rPr>
          <w:rStyle w:val="dicpy"/>
          <w:rFonts w:eastAsia="Times New Roman"/>
        </w:rPr>
        <w:t xml:space="preserve"> d’après Wang </w:t>
      </w:r>
      <w:proofErr w:type="spellStart"/>
      <w:r>
        <w:rPr>
          <w:rStyle w:val="dicpy"/>
          <w:rFonts w:eastAsia="Times New Roman"/>
        </w:rPr>
        <w:t>Mingde</w:t>
      </w:r>
      <w:proofErr w:type="spellEnd"/>
      <w:r>
        <w:rPr>
          <w:rStyle w:val="dicpy"/>
          <w:rFonts w:eastAsia="Times New Roman"/>
        </w:rPr>
        <w:t>.</w:t>
      </w:r>
    </w:p>
    <w:p w14:paraId="17049C2D" w14:textId="578E0B0D" w:rsidR="009522DF" w:rsidRPr="009522DF" w:rsidRDefault="009522DF" w:rsidP="009522DF">
      <w:pPr>
        <w:pStyle w:val="Normalweb"/>
        <w:spacing w:before="60" w:beforeAutospacing="0" w:after="60" w:afterAutospacing="0"/>
        <w:rPr>
          <w:rFonts w:eastAsia="新細明體"/>
          <w:sz w:val="27"/>
          <w:szCs w:val="27"/>
        </w:rPr>
      </w:pPr>
      <w:r w:rsidRPr="008E5BAC">
        <w:rPr>
          <w:color w:val="FF0000"/>
          <w:lang w:eastAsia="zh-TW"/>
        </w:rPr>
        <w:t>APAA : attente en prison jusqu’aux assises d’automne</w:t>
      </w:r>
      <w:r>
        <w:rPr>
          <w:lang w:eastAsia="zh-TW"/>
        </w:rPr>
        <w:t xml:space="preserve"> : </w:t>
      </w:r>
      <w:r w:rsidR="008E5BAC">
        <w:rPr>
          <w:lang w:eastAsia="zh-TW"/>
        </w:rPr>
        <w:t xml:space="preserve">je propose cet </w:t>
      </w:r>
      <w:bookmarkStart w:id="0" w:name="_GoBack"/>
      <w:bookmarkEnd w:id="0"/>
      <w:r>
        <w:rPr>
          <w:lang w:eastAsia="zh-TW"/>
        </w:rPr>
        <w:t xml:space="preserve">acronyme pour </w:t>
      </w:r>
      <w:hyperlink r:id="rId7" w:history="1">
        <w:proofErr w:type="spellStart"/>
        <w:r w:rsidRPr="009522DF">
          <w:rPr>
            <w:rFonts w:eastAsia="新細明體"/>
            <w:color w:val="0000FF"/>
            <w:sz w:val="27"/>
            <w:szCs w:val="27"/>
            <w:u w:val="single"/>
          </w:rPr>
          <w:t>jiānhòu</w:t>
        </w:r>
        <w:proofErr w:type="spellEnd"/>
      </w:hyperlink>
      <w:r w:rsidRPr="009522DF">
        <w:rPr>
          <w:rFonts w:eastAsia="新細明體"/>
          <w:sz w:val="27"/>
          <w:szCs w:val="27"/>
        </w:rPr>
        <w:t xml:space="preserve"> / </w:t>
      </w:r>
      <w:r w:rsidRPr="009522DF">
        <w:rPr>
          <w:rFonts w:eastAsia="新細明體"/>
          <w:sz w:val="27"/>
          <w:szCs w:val="27"/>
        </w:rPr>
        <w:t>監候</w:t>
      </w:r>
      <w:r w:rsidRPr="009522DF">
        <w:rPr>
          <w:rFonts w:eastAsia="新細明體"/>
          <w:sz w:val="27"/>
          <w:szCs w:val="27"/>
        </w:rPr>
        <w:t xml:space="preserve"> </w:t>
      </w:r>
      <w:r w:rsidRPr="009522DF">
        <w:rPr>
          <w:rFonts w:eastAsia="新細明體"/>
          <w:sz w:val="20"/>
          <w:szCs w:val="20"/>
        </w:rPr>
        <w:br/>
        <w:t xml:space="preserve">[en] </w:t>
      </w:r>
      <w:proofErr w:type="spellStart"/>
      <w:r w:rsidRPr="009522DF">
        <w:rPr>
          <w:rFonts w:eastAsia="新細明體"/>
          <w:sz w:val="20"/>
          <w:szCs w:val="20"/>
        </w:rPr>
        <w:t>awaiting</w:t>
      </w:r>
      <w:proofErr w:type="spellEnd"/>
      <w:r w:rsidRPr="009522DF">
        <w:rPr>
          <w:rFonts w:eastAsia="新細明體"/>
          <w:sz w:val="20"/>
          <w:szCs w:val="20"/>
        </w:rPr>
        <w:t xml:space="preserve"> in </w:t>
      </w:r>
      <w:proofErr w:type="spellStart"/>
      <w:r w:rsidRPr="009522DF">
        <w:rPr>
          <w:rFonts w:eastAsia="新細明體"/>
          <w:sz w:val="20"/>
          <w:szCs w:val="20"/>
        </w:rPr>
        <w:t>jail</w:t>
      </w:r>
      <w:proofErr w:type="spellEnd"/>
      <w:r w:rsidRPr="009522DF">
        <w:rPr>
          <w:rFonts w:eastAsia="新細明體"/>
          <w:sz w:val="20"/>
          <w:szCs w:val="20"/>
        </w:rPr>
        <w:t xml:space="preserve"> [</w:t>
      </w:r>
      <w:proofErr w:type="spellStart"/>
      <w:r w:rsidRPr="009522DF">
        <w:rPr>
          <w:rFonts w:eastAsia="新細明體"/>
          <w:sz w:val="20"/>
          <w:szCs w:val="20"/>
        </w:rPr>
        <w:t>fr</w:t>
      </w:r>
      <w:proofErr w:type="spellEnd"/>
      <w:r w:rsidRPr="009522DF">
        <w:rPr>
          <w:rFonts w:eastAsia="新細明體"/>
          <w:sz w:val="20"/>
          <w:szCs w:val="20"/>
        </w:rPr>
        <w:t>] détention dans l’attente des Assises d'Automne</w:t>
      </w:r>
    </w:p>
    <w:p w14:paraId="26E82205" w14:textId="77777777" w:rsidR="009522DF" w:rsidRPr="009522DF" w:rsidRDefault="009522DF" w:rsidP="009522DF">
      <w:proofErr w:type="spellStart"/>
      <w:proofErr w:type="gramStart"/>
      <w:r w:rsidRPr="009522DF">
        <w:rPr>
          <w:b/>
          <w:bCs/>
        </w:rPr>
        <w:t>Comments</w:t>
      </w:r>
      <w:proofErr w:type="spellEnd"/>
      <w:r w:rsidRPr="009522DF">
        <w:t>:</w:t>
      </w:r>
      <w:proofErr w:type="gramEnd"/>
      <w:r w:rsidRPr="009522DF">
        <w:t xml:space="preserve"> Version abrégée de </w:t>
      </w:r>
      <w:hyperlink r:id="rId8" w:history="1">
        <w:proofErr w:type="spellStart"/>
        <w:r w:rsidRPr="009522DF">
          <w:rPr>
            <w:color w:val="0000FF"/>
            <w:u w:val="single"/>
          </w:rPr>
          <w:t>jiāngù</w:t>
        </w:r>
        <w:proofErr w:type="spellEnd"/>
        <w:r w:rsidRPr="009522DF">
          <w:rPr>
            <w:color w:val="0000FF"/>
            <w:u w:val="single"/>
          </w:rPr>
          <w:t xml:space="preserve"> hou </w:t>
        </w:r>
        <w:proofErr w:type="spellStart"/>
        <w:r w:rsidRPr="009522DF">
          <w:rPr>
            <w:color w:val="0000FF"/>
            <w:u w:val="single"/>
          </w:rPr>
          <w:t>qiūshěn</w:t>
        </w:r>
        <w:proofErr w:type="spellEnd"/>
      </w:hyperlink>
      <w:r w:rsidRPr="009522DF">
        <w:t>, « détention dans l’attente des assises d’automne ». Les condamnés à mort qui n’étaient pas condamnés avec la mention « exécution immédiate » (q. v. {</w:t>
      </w:r>
      <w:proofErr w:type="spellStart"/>
      <w:r w:rsidRPr="009522DF">
        <w:t>lìjué</w:t>
      </w:r>
      <w:proofErr w:type="spellEnd"/>
      <w:r w:rsidRPr="009522DF">
        <w:t>}) attendaient la révision de leur sentence par les assises d’Automne (q. v. {</w:t>
      </w:r>
      <w:proofErr w:type="spellStart"/>
      <w:r w:rsidRPr="009522DF">
        <w:t>qiūshěn</w:t>
      </w:r>
      <w:proofErr w:type="spellEnd"/>
      <w:r w:rsidRPr="009522DF">
        <w:t>}).</w:t>
      </w:r>
    </w:p>
    <w:p w14:paraId="326DF215" w14:textId="77777777" w:rsidR="009522DF" w:rsidRPr="009522DF" w:rsidRDefault="009522DF" w:rsidP="009522DF">
      <w:proofErr w:type="gramStart"/>
      <w:r w:rsidRPr="009522DF">
        <w:rPr>
          <w:b/>
          <w:bCs/>
        </w:rPr>
        <w:t>Topic</w:t>
      </w:r>
      <w:r w:rsidRPr="009522DF">
        <w:t>:</w:t>
      </w:r>
      <w:proofErr w:type="gramEnd"/>
      <w:r w:rsidRPr="009522DF">
        <w:t xml:space="preserve"> </w:t>
      </w:r>
      <w:proofErr w:type="spellStart"/>
      <w:r w:rsidRPr="009522DF">
        <w:t>see:jiangu</w:t>
      </w:r>
      <w:proofErr w:type="spellEnd"/>
      <w:r w:rsidRPr="009522DF">
        <w:t xml:space="preserve"> hou </w:t>
      </w:r>
      <w:proofErr w:type="spellStart"/>
      <w:r w:rsidRPr="009522DF">
        <w:t>Qiushen</w:t>
      </w:r>
      <w:proofErr w:type="spellEnd"/>
      <w:r w:rsidRPr="009522DF">
        <w:t xml:space="preserve"> </w:t>
      </w:r>
    </w:p>
    <w:p w14:paraId="3EECE86B" w14:textId="77777777" w:rsidR="009522DF" w:rsidRPr="00C54DCC" w:rsidRDefault="009522DF" w:rsidP="00C54DCC">
      <w:pPr>
        <w:spacing w:before="60" w:after="60"/>
        <w:rPr>
          <w:sz w:val="27"/>
          <w:szCs w:val="27"/>
        </w:rPr>
      </w:pPr>
    </w:p>
    <w:p w14:paraId="219D3414" w14:textId="77777777" w:rsidR="00C54DCC" w:rsidRPr="00C54DCC" w:rsidRDefault="00C54DCC" w:rsidP="00C54DCC"/>
    <w:p w14:paraId="26E3A9A0" w14:textId="77777777" w:rsidR="00C54DCC" w:rsidRPr="00C54DCC" w:rsidRDefault="00C54DCC">
      <w:pPr>
        <w:rPr>
          <w:lang w:eastAsia="zh-TW"/>
        </w:rPr>
      </w:pPr>
    </w:p>
    <w:sectPr w:rsidR="00C54DCC" w:rsidRPr="00C54DCC" w:rsidSect="00A7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charset w:val="88"/>
    <w:family w:val="roman"/>
    <w:pitch w:val="fixed"/>
    <w:sig w:usb0="A00002FF" w:usb1="28CFFCFA" w:usb2="00000016" w:usb3="00000000" w:csb0="00100001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Lantinghei SC Extralight">
    <w:panose1 w:val="02000000000000000000"/>
    <w:charset w:val="86"/>
    <w:family w:val="swiss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C"/>
    <w:rsid w:val="00007DE9"/>
    <w:rsid w:val="00025FB2"/>
    <w:rsid w:val="00030776"/>
    <w:rsid w:val="000B675F"/>
    <w:rsid w:val="000F5933"/>
    <w:rsid w:val="000F6FBB"/>
    <w:rsid w:val="00121E9B"/>
    <w:rsid w:val="001D66E1"/>
    <w:rsid w:val="001F3CF8"/>
    <w:rsid w:val="0022388D"/>
    <w:rsid w:val="00390433"/>
    <w:rsid w:val="00403780"/>
    <w:rsid w:val="0043448B"/>
    <w:rsid w:val="00524ED3"/>
    <w:rsid w:val="005E32B3"/>
    <w:rsid w:val="00636791"/>
    <w:rsid w:val="007E1F52"/>
    <w:rsid w:val="008E5BAC"/>
    <w:rsid w:val="008E5D6A"/>
    <w:rsid w:val="00922341"/>
    <w:rsid w:val="009522DF"/>
    <w:rsid w:val="009A3930"/>
    <w:rsid w:val="00A23FC6"/>
    <w:rsid w:val="00A30E39"/>
    <w:rsid w:val="00A71764"/>
    <w:rsid w:val="00AA6745"/>
    <w:rsid w:val="00AB611B"/>
    <w:rsid w:val="00B47DA4"/>
    <w:rsid w:val="00B83A8D"/>
    <w:rsid w:val="00BB7E9C"/>
    <w:rsid w:val="00C54DCC"/>
    <w:rsid w:val="00C93FE6"/>
    <w:rsid w:val="00CC6C07"/>
    <w:rsid w:val="00CF0B76"/>
    <w:rsid w:val="00D43747"/>
    <w:rsid w:val="00E871D2"/>
    <w:rsid w:val="00EE4B4A"/>
    <w:rsid w:val="00F6522C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A23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新細明體" w:hAnsi="細明體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1D2"/>
    <w:rPr>
      <w:rFonts w:ascii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DCC"/>
    <w:pPr>
      <w:spacing w:before="100" w:beforeAutospacing="1" w:after="100" w:afterAutospacing="1"/>
    </w:pPr>
    <w:rPr>
      <w:rFonts w:eastAsiaTheme="minorHAnsi"/>
    </w:rPr>
  </w:style>
  <w:style w:type="character" w:styleId="Lienhypertexte">
    <w:name w:val="Hyperlink"/>
    <w:basedOn w:val="Policepardfaut"/>
    <w:uiPriority w:val="99"/>
    <w:semiHidden/>
    <w:unhideWhenUsed/>
    <w:rsid w:val="00C54DC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54DCC"/>
    <w:rPr>
      <w:b/>
      <w:bCs/>
    </w:rPr>
  </w:style>
  <w:style w:type="character" w:customStyle="1" w:styleId="dicpy">
    <w:name w:val="dicpy"/>
    <w:basedOn w:val="Policepardfaut"/>
    <w:rsid w:val="00E871D2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C6C07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C6C07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3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sc.chineselegalculture.org/Glossary/Terms?ID=69" TargetMode="External"/><Relationship Id="rId5" Type="http://schemas.openxmlformats.org/officeDocument/2006/relationships/hyperlink" Target="http://lsc.chineselegalculture.org/Glossary/Terms?ID=131" TargetMode="External"/><Relationship Id="rId6" Type="http://schemas.openxmlformats.org/officeDocument/2006/relationships/hyperlink" Target="http://lsc.chineselegalculture.org/Glossary/Terms?ID=300" TargetMode="External"/><Relationship Id="rId7" Type="http://schemas.openxmlformats.org/officeDocument/2006/relationships/hyperlink" Target="http://lsc.chineselegalculture.org/Glossary/Terms?ID=10" TargetMode="External"/><Relationship Id="rId8" Type="http://schemas.openxmlformats.org/officeDocument/2006/relationships/hyperlink" Target="http://lsc.chineselegalculture.org/Glossary/Terms?ID=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752</Words>
  <Characters>4141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Dàn 但: dès lors que, il suffit que</vt:lpstr>
    </vt:vector>
  </TitlesOfParts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2018-02-04T17:09:00Z</dcterms:created>
  <dcterms:modified xsi:type="dcterms:W3CDTF">2018-02-05T08:03:00Z</dcterms:modified>
</cp:coreProperties>
</file>