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6E" w:rsidRPr="00AD3F6E" w:rsidRDefault="00AD3F6E" w:rsidP="00AD3F6E">
      <w:r w:rsidRPr="00AD3F6E">
        <w:fldChar w:fldCharType="begin"/>
      </w:r>
      <w:r w:rsidRPr="00AD3F6E">
        <w:instrText xml:space="preserve"> HYPERLINK "http://lsc.chineselegalculture.org/eC/DQLL_1740/5.3.1.88" </w:instrText>
      </w:r>
      <w:r w:rsidRPr="00AD3F6E">
        <w:fldChar w:fldCharType="separate"/>
      </w:r>
      <w:r w:rsidRPr="00AD3F6E">
        <w:rPr>
          <w:rFonts w:ascii="MS Mincho" w:eastAsia="MS Mincho" w:hAnsi="MS Mincho" w:cs="MS Mincho" w:hint="eastAsia"/>
          <w:color w:val="0000FF"/>
          <w:u w:val="single"/>
        </w:rPr>
        <w:t>律</w:t>
      </w:r>
      <w:r w:rsidRPr="00AD3F6E">
        <w:rPr>
          <w:color w:val="0000FF"/>
          <w:u w:val="single"/>
        </w:rPr>
        <w:t>/</w:t>
      </w:r>
      <w:proofErr w:type="spellStart"/>
      <w:r w:rsidRPr="00AD3F6E">
        <w:rPr>
          <w:color w:val="0000FF"/>
          <w:u w:val="single"/>
        </w:rPr>
        <w:t>lü</w:t>
      </w:r>
      <w:proofErr w:type="spellEnd"/>
      <w:r w:rsidRPr="00AD3F6E">
        <w:rPr>
          <w:color w:val="0000FF"/>
          <w:u w:val="single"/>
        </w:rPr>
        <w:t xml:space="preserve"> 88 | </w:t>
      </w:r>
      <w:proofErr w:type="spellStart"/>
      <w:r w:rsidRPr="00AD3F6E">
        <w:rPr>
          <w:color w:val="0000FF"/>
          <w:u w:val="single"/>
        </w:rPr>
        <w:t>Beiyou</w:t>
      </w:r>
      <w:proofErr w:type="spellEnd"/>
      <w:r w:rsidRPr="00AD3F6E">
        <w:rPr>
          <w:color w:val="0000FF"/>
          <w:u w:val="single"/>
        </w:rPr>
        <w:t xml:space="preserve"> </w:t>
      </w:r>
      <w:proofErr w:type="spellStart"/>
      <w:r w:rsidRPr="00AD3F6E">
        <w:rPr>
          <w:color w:val="0000FF"/>
          <w:u w:val="single"/>
        </w:rPr>
        <w:t>sishan</w:t>
      </w:r>
      <w:proofErr w:type="spellEnd"/>
      <w:r w:rsidRPr="00AD3F6E">
        <w:rPr>
          <w:color w:val="0000FF"/>
          <w:u w:val="single"/>
        </w:rPr>
        <w:t xml:space="preserve"> </w:t>
      </w:r>
      <w:proofErr w:type="spellStart"/>
      <w:r w:rsidRPr="00AD3F6E">
        <w:rPr>
          <w:color w:val="0000FF"/>
          <w:u w:val="single"/>
        </w:rPr>
        <w:t>yongcai</w:t>
      </w:r>
      <w:proofErr w:type="spellEnd"/>
      <w:r w:rsidRPr="00AD3F6E">
        <w:rPr>
          <w:color w:val="0000FF"/>
          <w:u w:val="single"/>
        </w:rPr>
        <w:t xml:space="preserve"> </w:t>
      </w:r>
      <w:r w:rsidRPr="00AD3F6E">
        <w:rPr>
          <w:rFonts w:ascii="MS Mincho" w:eastAsia="MS Mincho" w:hAnsi="MS Mincho" w:cs="MS Mincho" w:hint="eastAsia"/>
          <w:color w:val="0000FF"/>
          <w:u w:val="single"/>
        </w:rPr>
        <w:t>卑幼私擅用財</w:t>
      </w:r>
      <w:r w:rsidRPr="00AD3F6E">
        <w:fldChar w:fldCharType="end"/>
      </w:r>
    </w:p>
    <w:p w:rsidR="00AD3F6E" w:rsidRDefault="00AD3F6E" w:rsidP="00AD3F6E">
      <w:pPr>
        <w:rPr>
          <w:rFonts w:ascii="MS Mincho" w:eastAsia="MS Mincho" w:hAnsi="MS Mincho" w:cs="MS Mincho"/>
        </w:rPr>
      </w:pPr>
      <w:r w:rsidRPr="00AD3F6E">
        <w:rPr>
          <w:rFonts w:ascii="MS Mincho" w:eastAsia="MS Mincho" w:hAnsi="MS Mincho" w:cs="MS Mincho" w:hint="eastAsia"/>
        </w:rPr>
        <w:t>凡同居卑幼，不由尊長，私擅用本家財物者，十兩，笞二十，每十兩加一等，罪止杖一百。若同居尊長，應分家財不均平者，罪亦如之</w:t>
      </w:r>
      <w:r w:rsidRPr="00AD3F6E">
        <w:rPr>
          <w:rFonts w:ascii="MS Mincho" w:eastAsia="MS Mincho" w:hAnsi="MS Mincho" w:cs="MS Mincho"/>
        </w:rPr>
        <w:t>。</w:t>
      </w:r>
    </w:p>
    <w:p w:rsidR="006F5A2D" w:rsidRDefault="006F5A2D" w:rsidP="00AD3F6E"/>
    <w:p w:rsidR="006F5A2D" w:rsidRDefault="006F5A2D" w:rsidP="00AD3F6E">
      <w:r>
        <w:t xml:space="preserve">Art. 88 Parents </w:t>
      </w:r>
      <w:r w:rsidRPr="006F5A2D">
        <w:rPr>
          <w:color w:val="FF0000"/>
        </w:rPr>
        <w:t>mineurs</w:t>
      </w:r>
      <w:r>
        <w:t xml:space="preserve"> en génération ou en âge se permettant </w:t>
      </w:r>
      <w:r w:rsidRPr="0006092E">
        <w:rPr>
          <w:color w:val="FF0000"/>
        </w:rPr>
        <w:t>d</w:t>
      </w:r>
      <w:r w:rsidR="0006092E">
        <w:rPr>
          <w:color w:val="FF0000"/>
        </w:rPr>
        <w:t>e dépenser</w:t>
      </w:r>
      <w:r w:rsidRPr="0006092E">
        <w:rPr>
          <w:color w:val="FF0000"/>
        </w:rPr>
        <w:t xml:space="preserve"> le patrimoine </w:t>
      </w:r>
      <w:r>
        <w:t xml:space="preserve">de </w:t>
      </w:r>
      <w:r w:rsidR="003B7319">
        <w:t xml:space="preserve">à </w:t>
      </w:r>
      <w:bookmarkStart w:id="0" w:name="_GoBack"/>
      <w:r w:rsidR="003B7319" w:rsidRPr="003B7319">
        <w:rPr>
          <w:color w:val="FF0000"/>
        </w:rPr>
        <w:t xml:space="preserve">leurs propres fins </w:t>
      </w:r>
      <w:bookmarkEnd w:id="0"/>
      <w:r w:rsidR="003B7319">
        <w:t>(ou « privément » ?)</w:t>
      </w:r>
      <w:r>
        <w:t>.</w:t>
      </w:r>
    </w:p>
    <w:p w:rsidR="006F5A2D" w:rsidRDefault="006F5A2D" w:rsidP="00AD3F6E"/>
    <w:p w:rsidR="006F5A2D" w:rsidRDefault="000B4D37" w:rsidP="00AD3F6E">
      <w:r>
        <w:t xml:space="preserve">Dans tous les cas des </w:t>
      </w:r>
      <w:r w:rsidR="0006092E">
        <w:t xml:space="preserve">parents mineurs </w:t>
      </w:r>
      <w:r>
        <w:t xml:space="preserve">en génération ou en âge vivant sous le même toit (en </w:t>
      </w:r>
      <w:proofErr w:type="spellStart"/>
      <w:r>
        <w:t>co-résidence</w:t>
      </w:r>
      <w:proofErr w:type="spellEnd"/>
      <w:r>
        <w:t xml:space="preserve"> ?) </w:t>
      </w:r>
      <w:r w:rsidR="0006092E">
        <w:t>avec</w:t>
      </w:r>
      <w:r>
        <w:t xml:space="preserve"> leurs parents majeurs en génération ou en âge </w:t>
      </w:r>
      <w:r w:rsidR="0006092E">
        <w:t xml:space="preserve">et, sans leur aval, </w:t>
      </w:r>
      <w:r>
        <w:t xml:space="preserve">se permettent </w:t>
      </w:r>
      <w:r w:rsidR="0006092E">
        <w:t xml:space="preserve">de dépenser </w:t>
      </w:r>
      <w:r w:rsidR="0006092E" w:rsidRPr="0006092E">
        <w:rPr>
          <w:color w:val="FF0000"/>
        </w:rPr>
        <w:t xml:space="preserve">à leurs propres fins </w:t>
      </w:r>
      <w:r w:rsidR="0006092E">
        <w:t xml:space="preserve">(privément ? </w:t>
      </w:r>
      <w:r w:rsidR="0006092E" w:rsidRPr="00AD3F6E">
        <w:rPr>
          <w:rFonts w:ascii="MS Mincho" w:eastAsia="MS Mincho" w:hAnsi="MS Mincho" w:cs="MS Mincho" w:hint="eastAsia"/>
        </w:rPr>
        <w:t>私</w:t>
      </w:r>
      <w:r w:rsidR="0006092E">
        <w:rPr>
          <w:rFonts w:ascii="MS Mincho" w:eastAsia="MS Mincho" w:hAnsi="MS Mincho" w:cs="MS Mincho" w:hint="eastAsia"/>
        </w:rPr>
        <w:t>)</w:t>
      </w:r>
      <w:r>
        <w:t xml:space="preserve"> de l’argent ou des biens appartenant à la famille, pour une somme de 10 taels : 20 coups de férule ; </w:t>
      </w:r>
      <w:r w:rsidR="0006092E">
        <w:t xml:space="preserve">puis </w:t>
      </w:r>
      <w:r>
        <w:t xml:space="preserve">aggraver la peine d’un degré pour chaque somme de 10 taels en sus, avec une </w:t>
      </w:r>
      <w:r w:rsidRPr="000B4D37">
        <w:rPr>
          <w:color w:val="FF0000"/>
        </w:rPr>
        <w:t xml:space="preserve">peine maximale </w:t>
      </w:r>
      <w:r>
        <w:t xml:space="preserve">de 100 coups de bâton. Si un parent majeur en génération ou en âge </w:t>
      </w:r>
      <w:r w:rsidR="000F5DD5">
        <w:t>vivant sous le même toit doit</w:t>
      </w:r>
      <w:r w:rsidR="0006092E">
        <w:t xml:space="preserve"> procéder à la division du patrimoine familial</w:t>
      </w:r>
      <w:r w:rsidR="000F5DD5">
        <w:t xml:space="preserve"> et </w:t>
      </w:r>
      <w:r w:rsidR="0006092E">
        <w:t>ne respecte pas le principe d’égalité entre héritiers, la même peine s’applique aussi à lui.</w:t>
      </w:r>
    </w:p>
    <w:p w:rsidR="006F5A2D" w:rsidRDefault="006F5A2D" w:rsidP="00AD3F6E"/>
    <w:p w:rsidR="006F5A2D" w:rsidRDefault="006F5A2D" w:rsidP="00AD3F6E">
      <w:pPr>
        <w:rPr>
          <w:b/>
        </w:rPr>
      </w:pPr>
      <w:r w:rsidRPr="006F5A2D">
        <w:rPr>
          <w:b/>
        </w:rPr>
        <w:t xml:space="preserve">Glossaire </w:t>
      </w:r>
    </w:p>
    <w:p w:rsidR="006F5A2D" w:rsidRDefault="006F5A2D" w:rsidP="006F5A2D">
      <w:pPr>
        <w:pStyle w:val="NormalWeb"/>
        <w:spacing w:before="60" w:beforeAutospacing="0" w:after="60" w:afterAutospacing="0"/>
        <w:rPr>
          <w:sz w:val="20"/>
          <w:szCs w:val="20"/>
        </w:rPr>
      </w:pPr>
      <w:hyperlink r:id="rId4" w:history="1">
        <w:proofErr w:type="spellStart"/>
        <w:r>
          <w:rPr>
            <w:rStyle w:val="Lienhypertexte"/>
            <w:sz w:val="27"/>
            <w:szCs w:val="27"/>
          </w:rPr>
          <w:t>bēiyòu</w:t>
        </w:r>
        <w:proofErr w:type="spellEnd"/>
      </w:hyperlink>
      <w:r>
        <w:rPr>
          <w:sz w:val="27"/>
          <w:szCs w:val="27"/>
        </w:rPr>
        <w:t xml:space="preserve"> / </w:t>
      </w:r>
      <w:r>
        <w:rPr>
          <w:rFonts w:ascii="MS Mincho" w:eastAsia="MS Mincho" w:hAnsi="MS Mincho" w:cs="MS Mincho" w:hint="eastAsia"/>
          <w:sz w:val="27"/>
          <w:szCs w:val="27"/>
        </w:rPr>
        <w:t>卑幼</w:t>
      </w:r>
      <w:r>
        <w:rPr>
          <w:sz w:val="20"/>
          <w:szCs w:val="20"/>
        </w:rPr>
        <w:br/>
        <w:t xml:space="preserve">[en] juniors and </w:t>
      </w:r>
      <w:proofErr w:type="spellStart"/>
      <w:r>
        <w:rPr>
          <w:sz w:val="20"/>
          <w:szCs w:val="20"/>
        </w:rPr>
        <w:t>youngers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fr</w:t>
      </w:r>
      <w:proofErr w:type="spellEnd"/>
      <w:r>
        <w:rPr>
          <w:sz w:val="20"/>
          <w:szCs w:val="20"/>
        </w:rPr>
        <w:t>] inférieur en génération ou en âge</w:t>
      </w:r>
      <w:r>
        <w:rPr>
          <w:sz w:val="20"/>
          <w:szCs w:val="20"/>
        </w:rPr>
        <w:t xml:space="preserve"> (remplacer «</w:t>
      </w:r>
      <w:r w:rsidRPr="006F5A2D">
        <w:rPr>
          <w:color w:val="FF0000"/>
          <w:sz w:val="20"/>
          <w:szCs w:val="20"/>
        </w:rPr>
        <w:t> inférieur </w:t>
      </w:r>
      <w:r>
        <w:rPr>
          <w:sz w:val="20"/>
          <w:szCs w:val="20"/>
        </w:rPr>
        <w:t xml:space="preserve">» par </w:t>
      </w:r>
      <w:r w:rsidRPr="006F5A2D">
        <w:rPr>
          <w:color w:val="FF0000"/>
          <w:sz w:val="20"/>
          <w:szCs w:val="20"/>
        </w:rPr>
        <w:t>« mineur </w:t>
      </w:r>
      <w:r>
        <w:rPr>
          <w:sz w:val="20"/>
          <w:szCs w:val="20"/>
        </w:rPr>
        <w:t>» ?</w:t>
      </w:r>
      <w:r w:rsidR="000B4D37">
        <w:rPr>
          <w:sz w:val="20"/>
          <w:szCs w:val="20"/>
        </w:rPr>
        <w:t>)</w:t>
      </w:r>
    </w:p>
    <w:p w:rsidR="006F5A2D" w:rsidRDefault="006F5A2D" w:rsidP="006F5A2D">
      <w:pPr>
        <w:pStyle w:val="NormalWeb"/>
        <w:spacing w:before="60" w:beforeAutospacing="0" w:after="60" w:afterAutospacing="0"/>
        <w:rPr>
          <w:sz w:val="20"/>
          <w:szCs w:val="20"/>
        </w:rPr>
      </w:pPr>
      <w:hyperlink r:id="rId5" w:history="1">
        <w:proofErr w:type="spellStart"/>
        <w:r>
          <w:rPr>
            <w:rStyle w:val="Lienhypertexte"/>
            <w:sz w:val="27"/>
            <w:szCs w:val="27"/>
          </w:rPr>
          <w:t>zūnzhǎng</w:t>
        </w:r>
        <w:proofErr w:type="spellEnd"/>
      </w:hyperlink>
      <w:r>
        <w:rPr>
          <w:sz w:val="27"/>
          <w:szCs w:val="27"/>
        </w:rPr>
        <w:t xml:space="preserve"> / </w:t>
      </w:r>
      <w:r>
        <w:rPr>
          <w:rFonts w:ascii="MS Mincho" w:eastAsia="MS Mincho" w:hAnsi="MS Mincho" w:cs="MS Mincho" w:hint="eastAsia"/>
          <w:sz w:val="27"/>
          <w:szCs w:val="27"/>
        </w:rPr>
        <w:t>尊長</w:t>
      </w:r>
      <w:r>
        <w:rPr>
          <w:sz w:val="20"/>
          <w:szCs w:val="20"/>
        </w:rPr>
        <w:br/>
        <w:t xml:space="preserve">[en] seniors and </w:t>
      </w:r>
      <w:proofErr w:type="spellStart"/>
      <w:r>
        <w:rPr>
          <w:sz w:val="20"/>
          <w:szCs w:val="20"/>
        </w:rPr>
        <w:t>elders</w:t>
      </w:r>
      <w:proofErr w:type="spellEnd"/>
      <w:r>
        <w:rPr>
          <w:sz w:val="20"/>
          <w:szCs w:val="20"/>
        </w:rPr>
        <w:t xml:space="preserve"> [</w:t>
      </w:r>
      <w:proofErr w:type="spellStart"/>
      <w:r>
        <w:rPr>
          <w:sz w:val="20"/>
          <w:szCs w:val="20"/>
        </w:rPr>
        <w:t>fr</w:t>
      </w:r>
      <w:proofErr w:type="spellEnd"/>
      <w:r>
        <w:rPr>
          <w:sz w:val="20"/>
          <w:szCs w:val="20"/>
        </w:rPr>
        <w:t>] supérieur en génération ou en âge</w:t>
      </w:r>
      <w:r w:rsidR="000B4D37">
        <w:rPr>
          <w:sz w:val="20"/>
          <w:szCs w:val="20"/>
        </w:rPr>
        <w:t xml:space="preserve"> (idem : remplacer «</w:t>
      </w:r>
      <w:r w:rsidR="000B4D37" w:rsidRPr="000B4D37">
        <w:rPr>
          <w:color w:val="FF0000"/>
          <w:sz w:val="20"/>
          <w:szCs w:val="20"/>
        </w:rPr>
        <w:t> supérieur </w:t>
      </w:r>
      <w:r w:rsidR="000B4D37">
        <w:rPr>
          <w:sz w:val="20"/>
          <w:szCs w:val="20"/>
        </w:rPr>
        <w:t>» par « </w:t>
      </w:r>
      <w:r w:rsidR="000B4D37" w:rsidRPr="000B4D37">
        <w:rPr>
          <w:color w:val="FF0000"/>
          <w:sz w:val="20"/>
          <w:szCs w:val="20"/>
        </w:rPr>
        <w:t>majeur</w:t>
      </w:r>
      <w:r w:rsidR="000B4D37">
        <w:rPr>
          <w:sz w:val="20"/>
          <w:szCs w:val="20"/>
        </w:rPr>
        <w:t> » ?)</w:t>
      </w:r>
    </w:p>
    <w:p w:rsidR="0006092E" w:rsidRPr="006E44B9" w:rsidRDefault="000B4D37" w:rsidP="000B4D37">
      <w:pPr>
        <w:pStyle w:val="NormalWeb"/>
        <w:spacing w:before="60" w:beforeAutospacing="0" w:after="60" w:afterAutospacing="0"/>
        <w:rPr>
          <w:color w:val="FF0000"/>
          <w:sz w:val="20"/>
          <w:szCs w:val="20"/>
        </w:rPr>
      </w:pPr>
      <w:hyperlink r:id="rId6" w:history="1">
        <w:proofErr w:type="spellStart"/>
        <w:r>
          <w:rPr>
            <w:rStyle w:val="Lienhypertexte"/>
            <w:sz w:val="27"/>
            <w:szCs w:val="27"/>
          </w:rPr>
          <w:t>zhǐzuì</w:t>
        </w:r>
        <w:proofErr w:type="spellEnd"/>
      </w:hyperlink>
      <w:r>
        <w:rPr>
          <w:sz w:val="27"/>
          <w:szCs w:val="27"/>
        </w:rPr>
        <w:t xml:space="preserve"> / </w:t>
      </w:r>
      <w:r>
        <w:rPr>
          <w:rFonts w:ascii="MS Mincho" w:eastAsia="MS Mincho" w:hAnsi="MS Mincho" w:cs="MS Mincho" w:hint="eastAsia"/>
          <w:sz w:val="27"/>
          <w:szCs w:val="27"/>
        </w:rPr>
        <w:t>止罪</w:t>
      </w:r>
      <w:r>
        <w:rPr>
          <w:sz w:val="27"/>
          <w:szCs w:val="27"/>
        </w:rPr>
        <w:t xml:space="preserve"> </w:t>
      </w:r>
      <w:r>
        <w:rPr>
          <w:sz w:val="20"/>
          <w:szCs w:val="20"/>
        </w:rPr>
        <w:br/>
        <w:t>[</w:t>
      </w:r>
      <w:proofErr w:type="spellStart"/>
      <w:r>
        <w:rPr>
          <w:sz w:val="20"/>
          <w:szCs w:val="20"/>
        </w:rPr>
        <w:t>fr</w:t>
      </w:r>
      <w:proofErr w:type="spellEnd"/>
      <w:r>
        <w:rPr>
          <w:sz w:val="20"/>
          <w:szCs w:val="20"/>
        </w:rPr>
        <w:t>] arrêter la peine [à un certain degré de gravité]</w:t>
      </w:r>
      <w:r>
        <w:rPr>
          <w:sz w:val="20"/>
          <w:szCs w:val="20"/>
        </w:rPr>
        <w:t xml:space="preserve"> ; </w:t>
      </w:r>
      <w:r w:rsidRPr="000B4D37">
        <w:rPr>
          <w:color w:val="FF0000"/>
          <w:sz w:val="20"/>
          <w:szCs w:val="20"/>
        </w:rPr>
        <w:t>peine maximale</w:t>
      </w:r>
      <w:r>
        <w:rPr>
          <w:color w:val="FF0000"/>
          <w:sz w:val="20"/>
          <w:szCs w:val="20"/>
        </w:rPr>
        <w:t> ?</w:t>
      </w:r>
    </w:p>
    <w:p w:rsidR="0006092E" w:rsidRPr="0006092E" w:rsidRDefault="0006092E" w:rsidP="0006092E">
      <w:pPr>
        <w:spacing w:before="60" w:after="60"/>
        <w:rPr>
          <w:sz w:val="27"/>
          <w:szCs w:val="27"/>
        </w:rPr>
      </w:pPr>
      <w:hyperlink r:id="rId7" w:history="1">
        <w:proofErr w:type="spellStart"/>
        <w:r w:rsidRPr="0006092E">
          <w:rPr>
            <w:color w:val="0000FF"/>
            <w:sz w:val="27"/>
            <w:szCs w:val="27"/>
            <w:u w:val="single"/>
          </w:rPr>
          <w:t>tóngjū</w:t>
        </w:r>
        <w:proofErr w:type="spellEnd"/>
      </w:hyperlink>
      <w:r w:rsidRPr="0006092E">
        <w:rPr>
          <w:sz w:val="27"/>
          <w:szCs w:val="27"/>
        </w:rPr>
        <w:t xml:space="preserve"> / </w:t>
      </w:r>
      <w:r w:rsidRPr="0006092E">
        <w:rPr>
          <w:rFonts w:ascii="MS Mincho" w:eastAsia="MS Mincho" w:hAnsi="MS Mincho" w:cs="MS Mincho" w:hint="eastAsia"/>
          <w:sz w:val="27"/>
          <w:szCs w:val="27"/>
        </w:rPr>
        <w:t>同居</w:t>
      </w:r>
      <w:r w:rsidRPr="0006092E">
        <w:rPr>
          <w:sz w:val="20"/>
          <w:szCs w:val="20"/>
        </w:rPr>
        <w:br/>
        <w:t xml:space="preserve">[en] </w:t>
      </w:r>
      <w:proofErr w:type="spellStart"/>
      <w:r w:rsidRPr="0006092E">
        <w:rPr>
          <w:sz w:val="20"/>
          <w:szCs w:val="20"/>
        </w:rPr>
        <w:t>common</w:t>
      </w:r>
      <w:proofErr w:type="spellEnd"/>
      <w:r w:rsidRPr="0006092E">
        <w:rPr>
          <w:sz w:val="20"/>
          <w:szCs w:val="20"/>
        </w:rPr>
        <w:t xml:space="preserve"> </w:t>
      </w:r>
      <w:proofErr w:type="spellStart"/>
      <w:r w:rsidRPr="0006092E">
        <w:rPr>
          <w:sz w:val="20"/>
          <w:szCs w:val="20"/>
        </w:rPr>
        <w:t>dwelling</w:t>
      </w:r>
      <w:proofErr w:type="spellEnd"/>
      <w:r w:rsidRPr="0006092E">
        <w:rPr>
          <w:sz w:val="20"/>
          <w:szCs w:val="20"/>
        </w:rPr>
        <w:t xml:space="preserve"> (</w:t>
      </w:r>
      <w:proofErr w:type="spellStart"/>
      <w:r w:rsidRPr="0006092E">
        <w:rPr>
          <w:sz w:val="20"/>
          <w:szCs w:val="20"/>
        </w:rPr>
        <w:t>kin</w:t>
      </w:r>
      <w:proofErr w:type="spellEnd"/>
      <w:r w:rsidRPr="0006092E">
        <w:rPr>
          <w:sz w:val="20"/>
          <w:szCs w:val="20"/>
        </w:rPr>
        <w:t xml:space="preserve">, </w:t>
      </w:r>
      <w:proofErr w:type="spellStart"/>
      <w:r w:rsidRPr="0006092E">
        <w:rPr>
          <w:sz w:val="20"/>
          <w:szCs w:val="20"/>
        </w:rPr>
        <w:t>incidentally</w:t>
      </w:r>
      <w:proofErr w:type="spellEnd"/>
      <w:r w:rsidRPr="0006092E">
        <w:rPr>
          <w:sz w:val="20"/>
          <w:szCs w:val="20"/>
        </w:rPr>
        <w:t xml:space="preserve"> slaves and servants) [</w:t>
      </w:r>
      <w:proofErr w:type="spellStart"/>
      <w:r w:rsidRPr="0006092E">
        <w:rPr>
          <w:sz w:val="20"/>
          <w:szCs w:val="20"/>
        </w:rPr>
        <w:t>fr</w:t>
      </w:r>
      <w:proofErr w:type="spellEnd"/>
      <w:r w:rsidRPr="0006092E">
        <w:rPr>
          <w:sz w:val="20"/>
          <w:szCs w:val="20"/>
        </w:rPr>
        <w:t xml:space="preserve">] </w:t>
      </w:r>
      <w:proofErr w:type="spellStart"/>
      <w:r w:rsidRPr="0006092E">
        <w:rPr>
          <w:sz w:val="20"/>
          <w:szCs w:val="20"/>
        </w:rPr>
        <w:t>co-résident</w:t>
      </w:r>
      <w:proofErr w:type="spellEnd"/>
      <w:r w:rsidRPr="0006092E">
        <w:rPr>
          <w:sz w:val="20"/>
          <w:szCs w:val="20"/>
        </w:rPr>
        <w:t xml:space="preserve"> (parents, parfois esclaves et serviteurs)</w:t>
      </w:r>
      <w:r>
        <w:rPr>
          <w:sz w:val="20"/>
          <w:szCs w:val="20"/>
        </w:rPr>
        <w:t> ; « vivant sous le même toit » ?</w:t>
      </w:r>
    </w:p>
    <w:p w:rsidR="0006092E" w:rsidRPr="000F5DD5" w:rsidRDefault="0006092E" w:rsidP="000F5DD5">
      <w:proofErr w:type="spellStart"/>
      <w:proofErr w:type="gramStart"/>
      <w:r w:rsidRPr="0006092E">
        <w:rPr>
          <w:b/>
          <w:bCs/>
        </w:rPr>
        <w:t>Comments</w:t>
      </w:r>
      <w:proofErr w:type="spellEnd"/>
      <w:r w:rsidRPr="0006092E">
        <w:t>:</w:t>
      </w:r>
      <w:proofErr w:type="gramEnd"/>
      <w:r w:rsidRPr="0006092E">
        <w:t xml:space="preserve"> NB. La communauté de résidence est un des éléments permettant de décider si des gens appartiennent ou non à une « même famille », ce qui peut avoir une grande incidence sur le plan légal. Un autre élément est la communauté de biens </w:t>
      </w:r>
      <w:proofErr w:type="spellStart"/>
      <w:r w:rsidRPr="0006092E">
        <w:t>tongcai</w:t>
      </w:r>
      <w:proofErr w:type="spellEnd"/>
      <w:r w:rsidRPr="0006092E">
        <w:t xml:space="preserve"> (voir ce terme).</w:t>
      </w:r>
    </w:p>
    <w:p w:rsidR="000B4D37" w:rsidRDefault="000B4D37" w:rsidP="000B4D37">
      <w:pPr>
        <w:pStyle w:val="NormalWeb"/>
        <w:spacing w:before="0" w:beforeAutospacing="0" w:after="0" w:afterAutospacing="0"/>
      </w:pPr>
      <w:proofErr w:type="spellStart"/>
      <w:r>
        <w:rPr>
          <w:rStyle w:val="lev"/>
        </w:rPr>
        <w:t>Synonym</w:t>
      </w:r>
      <w:proofErr w:type="spellEnd"/>
      <w:r>
        <w:rPr>
          <w:rStyle w:val="lev"/>
        </w:rPr>
        <w:t>(s</w:t>
      </w:r>
      <w:proofErr w:type="gramStart"/>
      <w:r>
        <w:rPr>
          <w:rStyle w:val="lev"/>
        </w:rPr>
        <w:t>)</w:t>
      </w:r>
      <w:r>
        <w:t>:</w:t>
      </w:r>
      <w:proofErr w:type="gramEnd"/>
      <w:r>
        <w:t xml:space="preserve"> </w:t>
      </w:r>
      <w:proofErr w:type="spellStart"/>
      <w:r>
        <w:t>zuìzhǐ</w:t>
      </w:r>
      <w:proofErr w:type="spellEnd"/>
    </w:p>
    <w:p w:rsidR="000B4D37" w:rsidRDefault="000B4D37" w:rsidP="006F5A2D">
      <w:pPr>
        <w:pStyle w:val="NormalWeb"/>
        <w:spacing w:before="60" w:beforeAutospacing="0" w:after="60" w:afterAutospacing="0"/>
        <w:rPr>
          <w:sz w:val="27"/>
          <w:szCs w:val="27"/>
        </w:rPr>
      </w:pPr>
    </w:p>
    <w:p w:rsidR="006F5A2D" w:rsidRPr="006E44B9" w:rsidRDefault="006F5A2D" w:rsidP="006E44B9">
      <w:pPr>
        <w:pStyle w:val="NormalWeb"/>
        <w:spacing w:before="60" w:beforeAutospacing="0" w:after="60" w:afterAutospacing="0"/>
        <w:rPr>
          <w:sz w:val="27"/>
          <w:szCs w:val="27"/>
          <w:lang w:eastAsia="zh-TW"/>
        </w:rPr>
      </w:pPr>
    </w:p>
    <w:p w:rsidR="006F5A2D" w:rsidRPr="00AD3F6E" w:rsidRDefault="006F5A2D" w:rsidP="00AD3F6E">
      <w:pPr>
        <w:rPr>
          <w:rFonts w:hint="eastAsia"/>
        </w:rPr>
      </w:pPr>
    </w:p>
    <w:p w:rsidR="00AD3F6E" w:rsidRPr="00AD3F6E" w:rsidRDefault="000733C8" w:rsidP="00AD3F6E">
      <w:pPr>
        <w:ind w:left="300"/>
        <w:rPr>
          <w:lang w:eastAsia="zh-TW"/>
        </w:rPr>
      </w:pPr>
      <w:hyperlink r:id="rId8" w:history="1">
        <w:r w:rsidR="00AD3F6E" w:rsidRPr="00AD3F6E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AD3F6E" w:rsidRPr="00AD3F6E">
          <w:rPr>
            <w:color w:val="0000FF"/>
            <w:u w:val="single"/>
            <w:lang w:eastAsia="zh-TW"/>
          </w:rPr>
          <w:t>/</w:t>
        </w:r>
        <w:proofErr w:type="spellStart"/>
        <w:r w:rsidR="00AD3F6E" w:rsidRPr="00AD3F6E">
          <w:rPr>
            <w:color w:val="0000FF"/>
            <w:u w:val="single"/>
            <w:lang w:eastAsia="zh-TW"/>
          </w:rPr>
          <w:t>tiaoli</w:t>
        </w:r>
        <w:proofErr w:type="spellEnd"/>
        <w:r w:rsidR="00AD3F6E" w:rsidRPr="00AD3F6E">
          <w:rPr>
            <w:color w:val="0000FF"/>
            <w:u w:val="single"/>
            <w:lang w:eastAsia="zh-TW"/>
          </w:rPr>
          <w:t xml:space="preserve"> 1 </w:t>
        </w:r>
      </w:hyperlink>
    </w:p>
    <w:p w:rsidR="00AD3F6E" w:rsidRDefault="00AD3F6E" w:rsidP="00AD3F6E">
      <w:pPr>
        <w:rPr>
          <w:rFonts w:ascii="MS Mincho" w:eastAsia="MS Mincho" w:hAnsi="MS Mincho" w:cs="MS Mincho"/>
          <w:lang w:eastAsia="zh-TW"/>
        </w:rPr>
      </w:pPr>
      <w:r w:rsidRPr="00AD3F6E">
        <w:rPr>
          <w:rFonts w:ascii="MS Mincho" w:eastAsia="MS Mincho" w:hAnsi="MS Mincho" w:cs="MS Mincho" w:hint="eastAsia"/>
          <w:lang w:eastAsia="zh-TW"/>
        </w:rPr>
        <w:t>嫡、庶子男，除有官廕襲，先儘嫡長子孫，其分析家財、田</w:t>
      </w:r>
      <w:r w:rsidRPr="00AD3F6E">
        <w:rPr>
          <w:rFonts w:ascii="Yu Gothic" w:eastAsia="Yu Gothic" w:hAnsi="Yu Gothic" w:cs="Yu Gothic" w:hint="eastAsia"/>
          <w:lang w:eastAsia="zh-TW"/>
        </w:rPr>
        <w:t>產</w:t>
      </w:r>
      <w:r w:rsidRPr="00AD3F6E">
        <w:rPr>
          <w:rFonts w:ascii="MS Mincho" w:eastAsia="MS Mincho" w:hAnsi="MS Mincho" w:cs="MS Mincho" w:hint="eastAsia"/>
          <w:lang w:eastAsia="zh-TW"/>
        </w:rPr>
        <w:t>不問妻妾婢生，止以子數均分。姦生之子，依子量與半分。如別無子，立應繼之人為嗣，與姦生子均分。無應繼之人，方許承繼全分</w:t>
      </w:r>
      <w:r w:rsidRPr="00AD3F6E">
        <w:rPr>
          <w:rFonts w:ascii="MS Mincho" w:eastAsia="MS Mincho" w:hAnsi="MS Mincho" w:cs="MS Mincho"/>
          <w:lang w:eastAsia="zh-TW"/>
        </w:rPr>
        <w:t>。</w:t>
      </w:r>
    </w:p>
    <w:p w:rsidR="006E44B9" w:rsidRDefault="006E44B9" w:rsidP="00AD3F6E">
      <w:pPr>
        <w:rPr>
          <w:rFonts w:ascii="MS Mincho" w:eastAsia="MS Mincho" w:hAnsi="MS Mincho" w:cs="MS Mincho" w:hint="eastAsia"/>
          <w:lang w:eastAsia="zh-TW"/>
        </w:rPr>
      </w:pPr>
    </w:p>
    <w:p w:rsidR="000F5DD5" w:rsidRDefault="006E44B9" w:rsidP="00AD3F6E">
      <w:pPr>
        <w:rPr>
          <w:lang w:eastAsia="zh-TW"/>
        </w:rPr>
      </w:pPr>
      <w:r>
        <w:rPr>
          <w:lang w:eastAsia="zh-TW"/>
        </w:rPr>
        <w:t>Premier a</w:t>
      </w:r>
      <w:r w:rsidR="000F5DD5">
        <w:rPr>
          <w:lang w:eastAsia="zh-TW"/>
        </w:rPr>
        <w:t xml:space="preserve">rticle additionnel. </w:t>
      </w:r>
    </w:p>
    <w:p w:rsidR="000F5DD5" w:rsidRPr="006D7C8E" w:rsidRDefault="000F5DD5" w:rsidP="00AD3F6E">
      <w:pPr>
        <w:rPr>
          <w:rFonts w:ascii="Times" w:hAnsi="Times"/>
          <w:lang w:eastAsia="zh-TW"/>
        </w:rPr>
      </w:pPr>
      <w:r>
        <w:rPr>
          <w:lang w:eastAsia="zh-TW"/>
        </w:rPr>
        <w:t xml:space="preserve">Les enfants mâle qu’ils soient issus de l’épouse légitime ou d’une concubine, à l’exception des titres officiels transmis héréditairement auxquels s’appliquent la règle de primogéniture du fils aîné et petit fils aîné issu de l’épouse légitime, pour tous les autres  </w:t>
      </w:r>
      <w:r w:rsidR="006D7C8E">
        <w:rPr>
          <w:lang w:eastAsia="zh-TW"/>
        </w:rPr>
        <w:t>la division des biens et propriétés foncières de la famille se fait sans distinction entre ceux qui sont nés de l’épouse légitime, d’une concubine, ou d’une servante (esclave</w:t>
      </w:r>
      <w:r w:rsidR="006D7C8E" w:rsidRPr="00AD3F6E">
        <w:rPr>
          <w:rFonts w:ascii="MS Mincho" w:eastAsia="MS Mincho" w:hAnsi="MS Mincho" w:cs="MS Mincho" w:hint="eastAsia"/>
          <w:lang w:eastAsia="zh-TW"/>
        </w:rPr>
        <w:t>婢</w:t>
      </w:r>
      <w:r w:rsidR="006D7C8E">
        <w:rPr>
          <w:rFonts w:ascii="MS Mincho" w:eastAsia="MS Mincho" w:hAnsi="MS Mincho" w:cs="MS Mincho" w:hint="eastAsia"/>
          <w:lang w:eastAsia="zh-TW"/>
        </w:rPr>
        <w:t> ?</w:t>
      </w:r>
      <w:r w:rsidR="006D7C8E">
        <w:rPr>
          <w:rFonts w:ascii="Times" w:eastAsia="MS Mincho" w:hAnsi="Times" w:cs="MS Mincho"/>
          <w:lang w:eastAsia="zh-TW"/>
        </w:rPr>
        <w:t xml:space="preserve">), </w:t>
      </w:r>
      <w:proofErr w:type="gramStart"/>
      <w:r w:rsidR="006D7C8E">
        <w:rPr>
          <w:rFonts w:ascii="Times" w:eastAsia="MS Mincho" w:hAnsi="Times" w:cs="MS Mincho"/>
          <w:lang w:eastAsia="zh-TW"/>
        </w:rPr>
        <w:t>en</w:t>
      </w:r>
      <w:proofErr w:type="gramEnd"/>
      <w:r w:rsidR="006D7C8E">
        <w:rPr>
          <w:rFonts w:ascii="Times" w:eastAsia="MS Mincho" w:hAnsi="Times" w:cs="MS Mincho"/>
          <w:lang w:eastAsia="zh-TW"/>
        </w:rPr>
        <w:t xml:space="preserve"> divisant à part égale au prorata du nombre de fils. Le fils né d’une relation sexuelle illicite</w:t>
      </w:r>
      <w:r w:rsidR="009B26F7">
        <w:rPr>
          <w:rFonts w:ascii="Times" w:eastAsia="MS Mincho" w:hAnsi="Times" w:cs="MS Mincho"/>
          <w:lang w:eastAsia="zh-TW"/>
        </w:rPr>
        <w:t xml:space="preserve"> </w:t>
      </w:r>
      <w:r w:rsidR="00752785">
        <w:rPr>
          <w:rFonts w:ascii="Times" w:eastAsia="MS Mincho" w:hAnsi="Times" w:cs="MS Mincho"/>
          <w:lang w:eastAsia="zh-TW"/>
        </w:rPr>
        <w:t>a</w:t>
      </w:r>
      <w:r w:rsidR="009B26F7">
        <w:rPr>
          <w:rFonts w:ascii="Times" w:eastAsia="MS Mincho" w:hAnsi="Times" w:cs="MS Mincho"/>
          <w:lang w:eastAsia="zh-TW"/>
        </w:rPr>
        <w:t xml:space="preserve"> une demi-part calculée par rapport à celle des autres fils. S’il n’y a aucun </w:t>
      </w:r>
      <w:r w:rsidR="00874DC6">
        <w:rPr>
          <w:rFonts w:ascii="Times" w:eastAsia="MS Mincho" w:hAnsi="Times" w:cs="MS Mincho"/>
          <w:lang w:eastAsia="zh-TW"/>
        </w:rPr>
        <w:t xml:space="preserve">autre </w:t>
      </w:r>
      <w:r w:rsidR="009B26F7">
        <w:rPr>
          <w:rFonts w:ascii="Times" w:eastAsia="MS Mincho" w:hAnsi="Times" w:cs="MS Mincho"/>
          <w:lang w:eastAsia="zh-TW"/>
        </w:rPr>
        <w:t xml:space="preserve">fils, il faut alors </w:t>
      </w:r>
      <w:r w:rsidR="00D00371">
        <w:rPr>
          <w:rFonts w:ascii="Times" w:eastAsia="MS Mincho" w:hAnsi="Times" w:cs="MS Mincho"/>
          <w:lang w:eastAsia="zh-TW"/>
        </w:rPr>
        <w:t>instituer un</w:t>
      </w:r>
      <w:r w:rsidR="00752785">
        <w:rPr>
          <w:rFonts w:ascii="Times" w:eastAsia="MS Mincho" w:hAnsi="Times" w:cs="MS Mincho"/>
          <w:lang w:eastAsia="zh-TW"/>
        </w:rPr>
        <w:t>e</w:t>
      </w:r>
      <w:r w:rsidR="00D00371">
        <w:rPr>
          <w:rFonts w:ascii="Times" w:eastAsia="MS Mincho" w:hAnsi="Times" w:cs="MS Mincho"/>
          <w:lang w:eastAsia="zh-TW"/>
        </w:rPr>
        <w:t xml:space="preserve"> </w:t>
      </w:r>
      <w:r w:rsidR="00752785">
        <w:rPr>
          <w:rFonts w:ascii="Times" w:eastAsia="MS Mincho" w:hAnsi="Times" w:cs="MS Mincho"/>
          <w:lang w:eastAsia="zh-TW"/>
        </w:rPr>
        <w:lastRenderedPageBreak/>
        <w:t xml:space="preserve">personne </w:t>
      </w:r>
      <w:r w:rsidR="00752785">
        <w:rPr>
          <w:rFonts w:ascii="Times" w:eastAsia="MS Mincho" w:hAnsi="Times" w:cs="MS Mincho"/>
          <w:color w:val="FF0000"/>
          <w:lang w:eastAsia="zh-TW"/>
        </w:rPr>
        <w:t>légitime à succéder</w:t>
      </w:r>
      <w:r w:rsidR="00D00371" w:rsidRPr="00D00371">
        <w:rPr>
          <w:rFonts w:ascii="Times" w:eastAsia="MS Mincho" w:hAnsi="Times" w:cs="MS Mincho"/>
          <w:color w:val="FF0000"/>
          <w:lang w:eastAsia="zh-TW"/>
        </w:rPr>
        <w:t xml:space="preserve"> </w:t>
      </w:r>
      <w:r w:rsidR="00874DC6" w:rsidRPr="00AD3F6E">
        <w:rPr>
          <w:rFonts w:ascii="MS Mincho" w:eastAsia="MS Mincho" w:hAnsi="MS Mincho" w:cs="MS Mincho" w:hint="eastAsia"/>
          <w:lang w:eastAsia="zh-TW"/>
        </w:rPr>
        <w:t>應繼</w:t>
      </w:r>
      <w:r w:rsidR="009B26F7">
        <w:rPr>
          <w:rFonts w:ascii="Times" w:eastAsia="MS Mincho" w:hAnsi="Times" w:cs="MS Mincho"/>
          <w:lang w:eastAsia="zh-TW"/>
        </w:rPr>
        <w:t xml:space="preserve">pour héritier, qui </w:t>
      </w:r>
      <w:r w:rsidR="00874DC6">
        <w:rPr>
          <w:rFonts w:ascii="Times" w:eastAsia="MS Mincho" w:hAnsi="Times" w:cs="MS Mincho"/>
          <w:lang w:eastAsia="zh-TW"/>
        </w:rPr>
        <w:t>partagera</w:t>
      </w:r>
      <w:r w:rsidR="009B26F7">
        <w:rPr>
          <w:rFonts w:ascii="Times" w:eastAsia="MS Mincho" w:hAnsi="Times" w:cs="MS Mincho"/>
          <w:lang w:eastAsia="zh-TW"/>
        </w:rPr>
        <w:t xml:space="preserve"> part égale </w:t>
      </w:r>
      <w:r w:rsidR="00874DC6">
        <w:rPr>
          <w:rFonts w:ascii="Times" w:eastAsia="MS Mincho" w:hAnsi="Times" w:cs="MS Mincho"/>
          <w:lang w:eastAsia="zh-TW"/>
        </w:rPr>
        <w:t>avec le</w:t>
      </w:r>
      <w:r w:rsidR="009B26F7">
        <w:rPr>
          <w:rFonts w:ascii="Times" w:eastAsia="MS Mincho" w:hAnsi="Times" w:cs="MS Mincho"/>
          <w:lang w:eastAsia="zh-TW"/>
        </w:rPr>
        <w:t xml:space="preserve"> fils issu d’une relation sexuelle illicite.</w:t>
      </w:r>
      <w:r w:rsidR="00874DC6">
        <w:rPr>
          <w:rFonts w:ascii="Times" w:eastAsia="MS Mincho" w:hAnsi="Times" w:cs="MS Mincho"/>
          <w:lang w:eastAsia="zh-TW"/>
        </w:rPr>
        <w:t xml:space="preserve"> S’il n’y a pas de</w:t>
      </w:r>
      <w:r w:rsidR="00752785" w:rsidRPr="00752785">
        <w:rPr>
          <w:rFonts w:ascii="Times" w:eastAsia="MS Mincho" w:hAnsi="Times" w:cs="MS Mincho"/>
          <w:lang w:eastAsia="zh-TW"/>
        </w:rPr>
        <w:t xml:space="preserve"> </w:t>
      </w:r>
      <w:r w:rsidR="00752785">
        <w:rPr>
          <w:rFonts w:ascii="Times" w:eastAsia="MS Mincho" w:hAnsi="Times" w:cs="MS Mincho"/>
          <w:lang w:eastAsia="zh-TW"/>
        </w:rPr>
        <w:t xml:space="preserve">personne </w:t>
      </w:r>
      <w:r w:rsidR="00752785">
        <w:rPr>
          <w:rFonts w:ascii="Times" w:eastAsia="MS Mincho" w:hAnsi="Times" w:cs="MS Mincho"/>
          <w:color w:val="FF0000"/>
          <w:lang w:eastAsia="zh-TW"/>
        </w:rPr>
        <w:t>légitime à succéder</w:t>
      </w:r>
      <w:r w:rsidR="00874DC6">
        <w:rPr>
          <w:rFonts w:ascii="Times" w:eastAsia="MS Mincho" w:hAnsi="Times" w:cs="MS Mincho"/>
          <w:lang w:eastAsia="zh-TW"/>
        </w:rPr>
        <w:t xml:space="preserve">, alors on autorise </w:t>
      </w:r>
      <w:r w:rsidR="00752785">
        <w:rPr>
          <w:rFonts w:ascii="Times" w:eastAsia="MS Mincho" w:hAnsi="Times" w:cs="MS Mincho"/>
          <w:lang w:eastAsia="zh-TW"/>
        </w:rPr>
        <w:t>[le fils issu d’une relation sexuelle illicite] à hériter de l’ensemble des parts.</w:t>
      </w:r>
    </w:p>
    <w:p w:rsidR="000F5DD5" w:rsidRDefault="000F5DD5" w:rsidP="00AD3F6E">
      <w:pPr>
        <w:rPr>
          <w:lang w:eastAsia="zh-TW"/>
        </w:rPr>
      </w:pPr>
    </w:p>
    <w:p w:rsidR="000F5DD5" w:rsidRDefault="000F5DD5" w:rsidP="00AD3F6E">
      <w:pPr>
        <w:rPr>
          <w:lang w:eastAsia="zh-TW"/>
        </w:rPr>
      </w:pPr>
      <w:r>
        <w:rPr>
          <w:lang w:eastAsia="zh-TW"/>
        </w:rPr>
        <w:t>Glossaire :</w:t>
      </w:r>
      <w:r w:rsidR="006D7C8E">
        <w:rPr>
          <w:lang w:eastAsia="zh-TW"/>
        </w:rPr>
        <w:t xml:space="preserve"> priorité, primogéniture ?</w:t>
      </w:r>
    </w:p>
    <w:p w:rsidR="000F5DD5" w:rsidRDefault="000F5DD5" w:rsidP="00AD3F6E">
      <w:pPr>
        <w:rPr>
          <w:rFonts w:ascii="MS Mincho" w:eastAsia="MS Mincho" w:hAnsi="MS Mincho" w:cs="MS Mincho"/>
          <w:lang w:eastAsia="zh-TW"/>
        </w:rPr>
      </w:pPr>
      <w:r w:rsidRPr="00AD3F6E">
        <w:rPr>
          <w:rFonts w:ascii="MS Mincho" w:eastAsia="MS Mincho" w:hAnsi="MS Mincho" w:cs="MS Mincho" w:hint="eastAsia"/>
          <w:lang w:eastAsia="zh-TW"/>
        </w:rPr>
        <w:t>先儘</w:t>
      </w:r>
      <w:r>
        <w:rPr>
          <w:rFonts w:ascii="MS Mincho" w:eastAsia="MS Mincho" w:hAnsi="MS Mincho" w:cs="MS Mincho" w:hint="eastAsia"/>
          <w:lang w:eastAsia="zh-TW"/>
        </w:rPr>
        <w:t> :</w:t>
      </w:r>
      <w:r>
        <w:rPr>
          <w:rFonts w:ascii="MS Mincho" w:eastAsia="MS Mincho" w:hAnsi="MS Mincho" w:cs="MS Mincho"/>
          <w:lang w:eastAsia="zh-TW"/>
        </w:rPr>
        <w:t xml:space="preserve"> </w:t>
      </w:r>
    </w:p>
    <w:p w:rsidR="00752785" w:rsidRDefault="00D00371" w:rsidP="00752785">
      <w:pPr>
        <w:rPr>
          <w:rFonts w:eastAsiaTheme="minorHAnsi"/>
          <w:color w:val="FF0000"/>
          <w:lang w:val="it-CH" w:eastAsia="zh-TW"/>
        </w:rPr>
      </w:pPr>
      <w:proofErr w:type="spellStart"/>
      <w:r>
        <w:rPr>
          <w:lang w:eastAsia="zh-TW"/>
        </w:rPr>
        <w:t>y</w:t>
      </w:r>
      <w:r w:rsidRPr="00D00371">
        <w:rPr>
          <w:lang w:eastAsia="zh-TW"/>
        </w:rPr>
        <w:t>īn</w:t>
      </w:r>
      <w:r>
        <w:t>g</w:t>
      </w:r>
      <w:r>
        <w:rPr>
          <w:rStyle w:val="dicpy"/>
          <w:lang w:eastAsia="zh-TW"/>
        </w:rPr>
        <w:t>jì</w:t>
      </w:r>
      <w:proofErr w:type="spellEnd"/>
      <w:r>
        <w:rPr>
          <w:lang w:eastAsia="zh-TW"/>
        </w:rPr>
        <w:t xml:space="preserve"> </w:t>
      </w:r>
      <w:r w:rsidRPr="00AD3F6E">
        <w:rPr>
          <w:rFonts w:ascii="MS Mincho" w:eastAsia="MS Mincho" w:hAnsi="MS Mincho" w:cs="MS Mincho" w:hint="eastAsia"/>
          <w:lang w:eastAsia="zh-TW"/>
        </w:rPr>
        <w:t>應繼</w:t>
      </w:r>
      <w:r>
        <w:rPr>
          <w:rFonts w:ascii="MS Mincho" w:eastAsia="MS Mincho" w:hAnsi="MS Mincho" w:cs="MS Mincho" w:hint="eastAsia"/>
          <w:lang w:eastAsia="zh-TW"/>
        </w:rPr>
        <w:t> </w:t>
      </w:r>
      <w:r>
        <w:rPr>
          <w:rFonts w:ascii="Times" w:eastAsia="MS Mincho" w:hAnsi="Times" w:cs="MS Mincho"/>
          <w:lang w:eastAsia="zh-TW"/>
        </w:rPr>
        <w:t>:</w:t>
      </w:r>
      <w:r w:rsidR="00874DC6">
        <w:rPr>
          <w:rFonts w:ascii="Times" w:eastAsia="MS Mincho" w:hAnsi="Times" w:cs="MS Mincho"/>
          <w:lang w:eastAsia="zh-TW"/>
        </w:rPr>
        <w:t xml:space="preserve"> </w:t>
      </w:r>
      <w:r w:rsidR="00752785">
        <w:rPr>
          <w:rFonts w:eastAsiaTheme="minorHAnsi"/>
          <w:lang w:val="it-CH" w:eastAsia="zh-TW"/>
        </w:rPr>
        <w:t xml:space="preserve"> </w:t>
      </w:r>
      <w:r w:rsidR="00752785" w:rsidRPr="003B2758">
        <w:rPr>
          <w:rFonts w:eastAsiaTheme="minorHAnsi"/>
          <w:color w:val="FF0000"/>
          <w:lang w:val="it-CH" w:eastAsia="zh-TW"/>
        </w:rPr>
        <w:t>légitime à succéder; héritier pressenti (légitime)</w:t>
      </w:r>
    </w:p>
    <w:p w:rsidR="00752785" w:rsidRPr="006D7C8E" w:rsidRDefault="00752785" w:rsidP="00752785">
      <w:pPr>
        <w:rPr>
          <w:rFonts w:ascii="Times" w:hAnsi="Times"/>
          <w:lang w:eastAsia="zh-TW"/>
        </w:rPr>
      </w:pPr>
      <w:r>
        <w:rPr>
          <w:rFonts w:ascii="Times" w:hAnsi="Times"/>
          <w:lang w:eastAsia="zh-TW"/>
        </w:rPr>
        <w:t xml:space="preserve">NB. </w:t>
      </w:r>
      <w:proofErr w:type="spellStart"/>
      <w:r>
        <w:rPr>
          <w:rFonts w:ascii="Times" w:hAnsi="Times"/>
          <w:lang w:eastAsia="zh-TW"/>
        </w:rPr>
        <w:t>Philastre</w:t>
      </w:r>
      <w:proofErr w:type="spellEnd"/>
      <w:r>
        <w:rPr>
          <w:rFonts w:ascii="Times" w:hAnsi="Times"/>
          <w:lang w:eastAsia="zh-TW"/>
        </w:rPr>
        <w:t xml:space="preserve"> « on instituera une </w:t>
      </w:r>
      <w:r w:rsidRPr="00752785">
        <w:rPr>
          <w:rFonts w:ascii="Times" w:hAnsi="Times"/>
          <w:color w:val="FF0000"/>
          <w:lang w:eastAsia="zh-TW"/>
        </w:rPr>
        <w:t xml:space="preserve">personne apte à continuer </w:t>
      </w:r>
      <w:r>
        <w:rPr>
          <w:rFonts w:ascii="Times" w:hAnsi="Times"/>
          <w:lang w:eastAsia="zh-TW"/>
        </w:rPr>
        <w:t xml:space="preserve">la postérité » </w:t>
      </w:r>
    </w:p>
    <w:p w:rsidR="00752785" w:rsidRPr="00752785" w:rsidRDefault="00752785" w:rsidP="00752785">
      <w:pPr>
        <w:rPr>
          <w:rFonts w:eastAsiaTheme="minorHAnsi"/>
          <w:lang w:eastAsia="zh-TW"/>
        </w:rPr>
      </w:pPr>
    </w:p>
    <w:p w:rsidR="00752785" w:rsidRDefault="00752785" w:rsidP="00752785">
      <w:pPr>
        <w:rPr>
          <w:rFonts w:eastAsiaTheme="minorHAnsi"/>
          <w:lang w:eastAsia="zh-TW"/>
        </w:rPr>
      </w:pPr>
      <w:proofErr w:type="spellStart"/>
      <w:r>
        <w:t>lìsì</w:t>
      </w:r>
      <w:proofErr w:type="spellEnd"/>
      <w:r w:rsidRPr="00D87512">
        <w:rPr>
          <w:rFonts w:ascii="MS Gothic" w:eastAsia="MS Gothic" w:hAnsi="MS Gothic" w:cs="MS Gothic" w:hint="eastAsia"/>
          <w:lang w:eastAsia="zh-TW"/>
        </w:rPr>
        <w:t>立嗣</w:t>
      </w:r>
      <w:r>
        <w:rPr>
          <w:rFonts w:eastAsiaTheme="minorHAnsi" w:hint="eastAsia"/>
          <w:lang w:eastAsia="zh-TW"/>
        </w:rPr>
        <w:t> </w:t>
      </w:r>
      <w:r>
        <w:rPr>
          <w:rFonts w:eastAsiaTheme="minorHAnsi"/>
          <w:lang w:eastAsia="zh-TW"/>
        </w:rPr>
        <w:t>: instituer un héritier, institution d’héritier</w:t>
      </w:r>
    </w:p>
    <w:p w:rsidR="00D00371" w:rsidRPr="00D00371" w:rsidRDefault="00D00371" w:rsidP="00AD3F6E">
      <w:pPr>
        <w:rPr>
          <w:rFonts w:ascii="Times" w:hAnsi="Times"/>
          <w:lang w:eastAsia="zh-TW"/>
        </w:rPr>
      </w:pPr>
    </w:p>
    <w:p w:rsidR="00AD3F6E" w:rsidRPr="00AD3F6E" w:rsidRDefault="000733C8" w:rsidP="00AD3F6E">
      <w:pPr>
        <w:ind w:left="300"/>
        <w:rPr>
          <w:lang w:eastAsia="zh-TW"/>
        </w:rPr>
      </w:pPr>
      <w:hyperlink r:id="rId9" w:history="1">
        <w:r w:rsidR="00AD3F6E" w:rsidRPr="00AD3F6E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AD3F6E" w:rsidRPr="00AD3F6E">
          <w:rPr>
            <w:color w:val="0000FF"/>
            <w:u w:val="single"/>
            <w:lang w:eastAsia="zh-TW"/>
          </w:rPr>
          <w:t>/</w:t>
        </w:r>
        <w:proofErr w:type="spellStart"/>
        <w:r w:rsidR="00AD3F6E" w:rsidRPr="00AD3F6E">
          <w:rPr>
            <w:color w:val="0000FF"/>
            <w:u w:val="single"/>
            <w:lang w:eastAsia="zh-TW"/>
          </w:rPr>
          <w:t>tiaoli</w:t>
        </w:r>
        <w:proofErr w:type="spellEnd"/>
        <w:r w:rsidR="00AD3F6E" w:rsidRPr="00AD3F6E">
          <w:rPr>
            <w:color w:val="0000FF"/>
            <w:u w:val="single"/>
            <w:lang w:eastAsia="zh-TW"/>
          </w:rPr>
          <w:t xml:space="preserve"> 2 </w:t>
        </w:r>
      </w:hyperlink>
    </w:p>
    <w:p w:rsidR="00AD3F6E" w:rsidRPr="00AD3F6E" w:rsidRDefault="00AD3F6E" w:rsidP="00AD3F6E">
      <w:pPr>
        <w:rPr>
          <w:lang w:eastAsia="zh-TW"/>
        </w:rPr>
      </w:pPr>
      <w:r w:rsidRPr="00AD3F6E">
        <w:rPr>
          <w:rFonts w:ascii="Yu Gothic" w:eastAsia="Yu Gothic" w:hAnsi="Yu Gothic" w:cs="Yu Gothic" w:hint="eastAsia"/>
          <w:lang w:eastAsia="zh-TW"/>
        </w:rPr>
        <w:t>戶絕</w:t>
      </w:r>
      <w:r w:rsidRPr="00AD3F6E">
        <w:rPr>
          <w:rFonts w:ascii="MS Mincho" w:eastAsia="MS Mincho" w:hAnsi="MS Mincho" w:cs="MS Mincho" w:hint="eastAsia"/>
          <w:lang w:eastAsia="zh-TW"/>
        </w:rPr>
        <w:t>財</w:t>
      </w:r>
      <w:r w:rsidRPr="00AD3F6E">
        <w:rPr>
          <w:rFonts w:ascii="Yu Gothic" w:eastAsia="Yu Gothic" w:hAnsi="Yu Gothic" w:cs="Yu Gothic" w:hint="eastAsia"/>
          <w:lang w:eastAsia="zh-TW"/>
        </w:rPr>
        <w:t>產</w:t>
      </w:r>
      <w:r w:rsidRPr="00AD3F6E">
        <w:rPr>
          <w:rFonts w:ascii="MS Mincho" w:eastAsia="MS Mincho" w:hAnsi="MS Mincho" w:cs="MS Mincho" w:hint="eastAsia"/>
          <w:lang w:eastAsia="zh-TW"/>
        </w:rPr>
        <w:t>，果無同宗應繼之人，所有親女承受。無女者，聽地方官詳明上司，酌撥充公</w:t>
      </w:r>
      <w:r w:rsidRPr="00AD3F6E">
        <w:rPr>
          <w:rFonts w:ascii="MS Mincho" w:eastAsia="MS Mincho" w:hAnsi="MS Mincho" w:cs="MS Mincho"/>
          <w:lang w:eastAsia="zh-TW"/>
        </w:rPr>
        <w:t>。</w:t>
      </w:r>
    </w:p>
    <w:p w:rsidR="00922A68" w:rsidRDefault="000733C8">
      <w:pPr>
        <w:rPr>
          <w:lang w:eastAsia="zh-TW"/>
        </w:rPr>
      </w:pPr>
    </w:p>
    <w:p w:rsidR="000F5DD5" w:rsidRPr="006E44B9" w:rsidRDefault="006E44B9">
      <w:pPr>
        <w:rPr>
          <w:b/>
          <w:lang w:eastAsia="zh-TW"/>
        </w:rPr>
      </w:pPr>
      <w:r w:rsidRPr="006E44B9">
        <w:rPr>
          <w:b/>
          <w:lang w:eastAsia="zh-TW"/>
        </w:rPr>
        <w:t>Deuxième article additionnel</w:t>
      </w:r>
    </w:p>
    <w:p w:rsidR="00752785" w:rsidRDefault="00752785">
      <w:pPr>
        <w:rPr>
          <w:lang w:eastAsia="zh-TW"/>
        </w:rPr>
      </w:pPr>
      <w:r>
        <w:rPr>
          <w:lang w:eastAsia="zh-TW"/>
        </w:rPr>
        <w:t xml:space="preserve">Le patrimoine des familles éteintes, s’il n’y a vraiment pas de personne légitime à succéder dans la ligne d’ascendance agnatique, peut </w:t>
      </w:r>
      <w:r w:rsidR="00C675C3">
        <w:rPr>
          <w:lang w:eastAsia="zh-TW"/>
        </w:rPr>
        <w:t xml:space="preserve">être reçu en héritage par </w:t>
      </w:r>
      <w:r w:rsidRPr="00C675C3">
        <w:rPr>
          <w:color w:val="FF0000"/>
          <w:lang w:eastAsia="zh-TW"/>
        </w:rPr>
        <w:t>une fille</w:t>
      </w:r>
      <w:r w:rsidR="00C675C3" w:rsidRPr="00C675C3">
        <w:rPr>
          <w:color w:val="FF0000"/>
          <w:lang w:eastAsia="zh-TW"/>
        </w:rPr>
        <w:t xml:space="preserve"> appartenant à cette famille</w:t>
      </w:r>
      <w:r w:rsidR="00C675C3">
        <w:rPr>
          <w:lang w:eastAsia="zh-TW"/>
        </w:rPr>
        <w:t xml:space="preserve"> [</w:t>
      </w:r>
      <w:r w:rsidR="00C675C3" w:rsidRPr="00AD3F6E">
        <w:rPr>
          <w:rFonts w:ascii="MS Mincho" w:eastAsia="MS Mincho" w:hAnsi="MS Mincho" w:cs="MS Mincho" w:hint="eastAsia"/>
          <w:lang w:eastAsia="zh-TW"/>
        </w:rPr>
        <w:t>所有親女</w:t>
      </w:r>
      <w:proofErr w:type="spellStart"/>
      <w:r w:rsidR="00C675C3">
        <w:rPr>
          <w:lang w:eastAsia="zh-TW"/>
        </w:rPr>
        <w:t>c-à-d</w:t>
      </w:r>
      <w:proofErr w:type="spellEnd"/>
      <w:r w:rsidR="00C675C3">
        <w:rPr>
          <w:lang w:eastAsia="zh-TW"/>
        </w:rPr>
        <w:t xml:space="preserve"> non mariée !]</w:t>
      </w:r>
      <w:r>
        <w:rPr>
          <w:lang w:eastAsia="zh-TW"/>
        </w:rPr>
        <w:t>. S’il n’y a pas de fille, que le magistrat local en informe les autorités supérieures</w:t>
      </w:r>
      <w:r w:rsidR="00223B2D">
        <w:rPr>
          <w:lang w:eastAsia="zh-TW"/>
        </w:rPr>
        <w:t>, pour qu’on délibère de sa confiscation.</w:t>
      </w:r>
    </w:p>
    <w:p w:rsidR="00223B2D" w:rsidRDefault="00223B2D">
      <w:pPr>
        <w:rPr>
          <w:lang w:eastAsia="zh-TW"/>
        </w:rPr>
      </w:pPr>
    </w:p>
    <w:p w:rsidR="00223B2D" w:rsidRDefault="00223B2D">
      <w:pPr>
        <w:rPr>
          <w:b/>
          <w:lang w:eastAsia="zh-TW"/>
        </w:rPr>
      </w:pPr>
      <w:r w:rsidRPr="00223B2D">
        <w:rPr>
          <w:b/>
          <w:lang w:eastAsia="zh-TW"/>
        </w:rPr>
        <w:t>Glossaire </w:t>
      </w:r>
    </w:p>
    <w:p w:rsidR="00223B2D" w:rsidRDefault="00223B2D">
      <w:pPr>
        <w:rPr>
          <w:lang w:eastAsia="zh-TW"/>
        </w:rPr>
      </w:pPr>
      <w:proofErr w:type="spellStart"/>
      <w:r>
        <w:rPr>
          <w:rStyle w:val="dicpy"/>
        </w:rPr>
        <w:t>hùjué</w:t>
      </w:r>
      <w:proofErr w:type="spellEnd"/>
      <w:r>
        <w:t xml:space="preserve"> </w:t>
      </w:r>
      <w:r w:rsidRPr="00AD3F6E">
        <w:rPr>
          <w:rFonts w:ascii="Yu Gothic" w:eastAsia="Yu Gothic" w:hAnsi="Yu Gothic" w:cs="Yu Gothic" w:hint="eastAsia"/>
          <w:lang w:eastAsia="zh-TW"/>
        </w:rPr>
        <w:t>戶絕</w:t>
      </w:r>
      <w:r>
        <w:rPr>
          <w:b/>
          <w:lang w:eastAsia="zh-TW"/>
        </w:rPr>
        <w:t xml:space="preserve">: </w:t>
      </w:r>
      <w:r w:rsidRPr="00223B2D">
        <w:rPr>
          <w:lang w:eastAsia="zh-TW"/>
        </w:rPr>
        <w:t>extinction d’une famille ; famille éteinte</w:t>
      </w:r>
    </w:p>
    <w:p w:rsidR="00223B2D" w:rsidRDefault="00223B2D">
      <w:pPr>
        <w:rPr>
          <w:rStyle w:val="dicpy"/>
        </w:rPr>
      </w:pPr>
      <w:r>
        <w:t xml:space="preserve">syn. </w:t>
      </w:r>
      <w:proofErr w:type="spellStart"/>
      <w:r>
        <w:rPr>
          <w:rStyle w:val="dicpy"/>
        </w:rPr>
        <w:t>juéhù</w:t>
      </w:r>
      <w:proofErr w:type="spellEnd"/>
    </w:p>
    <w:p w:rsidR="00223B2D" w:rsidRDefault="00223B2D">
      <w:proofErr w:type="spellStart"/>
      <w:r>
        <w:rPr>
          <w:rStyle w:val="dicpy"/>
        </w:rPr>
        <w:t>juéhù</w:t>
      </w:r>
      <w:proofErr w:type="spellEnd"/>
      <w:r>
        <w:rPr>
          <w:rStyle w:val="dicpy"/>
        </w:rPr>
        <w:t> </w:t>
      </w:r>
      <w:r w:rsidRPr="00AD3F6E">
        <w:rPr>
          <w:rFonts w:ascii="Yu Gothic" w:eastAsia="Yu Gothic" w:hAnsi="Yu Gothic" w:cs="Yu Gothic" w:hint="eastAsia"/>
          <w:lang w:eastAsia="zh-TW"/>
        </w:rPr>
        <w:t>戶絕</w:t>
      </w:r>
      <w:r>
        <w:rPr>
          <w:rStyle w:val="dicpy"/>
        </w:rPr>
        <w:t xml:space="preserve">: voir </w:t>
      </w:r>
      <w:proofErr w:type="spellStart"/>
      <w:r>
        <w:rPr>
          <w:rStyle w:val="dicpy"/>
        </w:rPr>
        <w:t>hùjué</w:t>
      </w:r>
      <w:proofErr w:type="spellEnd"/>
    </w:p>
    <w:p w:rsidR="00223B2D" w:rsidRPr="00223B2D" w:rsidRDefault="00C675C3">
      <w:r w:rsidRPr="00AD3F6E">
        <w:rPr>
          <w:rFonts w:ascii="MS Mincho" w:eastAsia="MS Mincho" w:hAnsi="MS Mincho" w:cs="MS Mincho" w:hint="eastAsia"/>
          <w:lang w:eastAsia="zh-TW"/>
        </w:rPr>
        <w:t>承受</w:t>
      </w:r>
      <w:r>
        <w:t>: recevoir en héritage</w:t>
      </w:r>
    </w:p>
    <w:p w:rsidR="00223B2D" w:rsidRPr="00223B2D" w:rsidRDefault="00223B2D" w:rsidP="00223B2D">
      <w:pPr>
        <w:rPr>
          <w:rFonts w:ascii="Times" w:hAnsi="Times"/>
        </w:rPr>
      </w:pPr>
      <w:proofErr w:type="spellStart"/>
      <w:r w:rsidRPr="00223B2D">
        <w:rPr>
          <w:rStyle w:val="dicpy"/>
          <w:rFonts w:ascii="Times" w:hAnsi="Times"/>
        </w:rPr>
        <w:t>C</w:t>
      </w:r>
      <w:r w:rsidRPr="00223B2D">
        <w:rPr>
          <w:rStyle w:val="dicpy"/>
          <w:rFonts w:ascii="Times" w:hAnsi="Times"/>
        </w:rPr>
        <w:t>hōnggōng</w:t>
      </w:r>
      <w:proofErr w:type="spellEnd"/>
      <w:r w:rsidRPr="00223B2D">
        <w:rPr>
          <w:rStyle w:val="dicpy"/>
          <w:rFonts w:ascii="Times" w:hAnsi="Times"/>
        </w:rPr>
        <w:t xml:space="preserve"> </w:t>
      </w:r>
      <w:r w:rsidRPr="00223B2D">
        <w:rPr>
          <w:rFonts w:ascii="Times" w:eastAsia="MS Mincho" w:hAnsi="Times" w:cs="MS Mincho"/>
          <w:lang w:eastAsia="zh-TW"/>
        </w:rPr>
        <w:t>充公</w:t>
      </w:r>
      <w:r w:rsidRPr="00223B2D">
        <w:rPr>
          <w:rFonts w:ascii="Times" w:eastAsia="MS Mincho" w:hAnsi="Times" w:cs="MS Mincho"/>
          <w:lang w:eastAsia="zh-TW"/>
        </w:rPr>
        <w:t> : confiscation</w:t>
      </w:r>
    </w:p>
    <w:p w:rsidR="00223B2D" w:rsidRDefault="00223B2D">
      <w:pPr>
        <w:rPr>
          <w:lang w:eastAsia="zh-TW"/>
        </w:rPr>
      </w:pPr>
    </w:p>
    <w:p w:rsidR="00752785" w:rsidRDefault="00752785">
      <w:pPr>
        <w:rPr>
          <w:lang w:eastAsia="zh-TW"/>
        </w:rPr>
      </w:pPr>
    </w:p>
    <w:sectPr w:rsidR="00752785" w:rsidSect="00D22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6E"/>
    <w:rsid w:val="00011EB6"/>
    <w:rsid w:val="0006092E"/>
    <w:rsid w:val="000733C8"/>
    <w:rsid w:val="000B4D37"/>
    <w:rsid w:val="000F5DD5"/>
    <w:rsid w:val="0013506C"/>
    <w:rsid w:val="00223B2D"/>
    <w:rsid w:val="002D59FC"/>
    <w:rsid w:val="00360F04"/>
    <w:rsid w:val="00387FEC"/>
    <w:rsid w:val="003B7319"/>
    <w:rsid w:val="006D7C8E"/>
    <w:rsid w:val="006E44B9"/>
    <w:rsid w:val="006F5A2D"/>
    <w:rsid w:val="00752785"/>
    <w:rsid w:val="0078471E"/>
    <w:rsid w:val="00874DC6"/>
    <w:rsid w:val="00982DB3"/>
    <w:rsid w:val="009B26F7"/>
    <w:rsid w:val="00AD3F6E"/>
    <w:rsid w:val="00C235B8"/>
    <w:rsid w:val="00C675C3"/>
    <w:rsid w:val="00D00371"/>
    <w:rsid w:val="00D22777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463545"/>
  <w14:defaultImageDpi w14:val="32767"/>
  <w15:chartTrackingRefBased/>
  <w15:docId w15:val="{A1C39BC4-0AB9-0948-A842-0869722D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3B2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F6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AD3F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F5A2D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0B4D37"/>
    <w:rPr>
      <w:b/>
      <w:bCs/>
    </w:rPr>
  </w:style>
  <w:style w:type="character" w:customStyle="1" w:styleId="dicpy">
    <w:name w:val="dicpy"/>
    <w:basedOn w:val="Policepardfaut"/>
    <w:rsid w:val="00D0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1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052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6925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c.chineselegalculture.org/eC/DQLL_1740/5.3.1.88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sc.chineselegalculture.org/Glossary/Terms?ID=1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sc.chineselegalculture.org/Glossary/Terms?ID=3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sc.chineselegalculture.org/Glossary/Terms?ID=1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sc.chineselegalculture.org/Glossary/Terms?ID=14" TargetMode="External"/><Relationship Id="rId9" Type="http://schemas.openxmlformats.org/officeDocument/2006/relationships/hyperlink" Target="http://lsc.chineselegalculture.org/eC/DQLL_1740/5.3.1.88.2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Bourgon</dc:creator>
  <cp:keywords/>
  <dc:description/>
  <cp:lastModifiedBy>Jérôme Bourgon</cp:lastModifiedBy>
  <cp:revision>2</cp:revision>
  <dcterms:created xsi:type="dcterms:W3CDTF">2019-11-21T15:55:00Z</dcterms:created>
  <dcterms:modified xsi:type="dcterms:W3CDTF">2019-11-21T15:55:00Z</dcterms:modified>
</cp:coreProperties>
</file>