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A" w:rsidRPr="00930DAA" w:rsidRDefault="00F67218" w:rsidP="00930DAA">
      <w:pPr>
        <w:rPr>
          <w:b/>
          <w:sz w:val="24"/>
          <w:szCs w:val="24"/>
          <w:lang w:val="fr-FR"/>
        </w:rPr>
      </w:pPr>
      <w:r w:rsidRPr="00930DAA">
        <w:rPr>
          <w:b/>
          <w:sz w:val="24"/>
          <w:szCs w:val="24"/>
          <w:lang w:val="fr-FR"/>
        </w:rPr>
        <w:t>Définition du système à maison </w:t>
      </w:r>
      <w:proofErr w:type="gramStart"/>
      <w:r w:rsidRPr="00930DAA">
        <w:rPr>
          <w:b/>
          <w:sz w:val="24"/>
          <w:szCs w:val="24"/>
          <w:lang w:val="fr-FR"/>
        </w:rPr>
        <w:t>ou  famille</w:t>
      </w:r>
      <w:proofErr w:type="gramEnd"/>
      <w:r w:rsidRPr="00930DAA">
        <w:rPr>
          <w:b/>
          <w:sz w:val="24"/>
          <w:szCs w:val="24"/>
          <w:lang w:val="fr-FR"/>
        </w:rPr>
        <w:t xml:space="preserve"> souche </w:t>
      </w:r>
      <w:r w:rsidR="0081679D">
        <w:rPr>
          <w:lang w:val="fr-FR"/>
        </w:rPr>
        <w:t xml:space="preserve">(repris et adapté de la rubrique de  </w:t>
      </w:r>
      <w:hyperlink r:id="rId4" w:history="1">
        <w:r w:rsidR="00930DAA" w:rsidRPr="00930DAA">
          <w:rPr>
            <w:rStyle w:val="Lienhypertexte"/>
            <w:lang w:val="fr-FR"/>
          </w:rPr>
          <w:t>https://fr.wikipedia.org/wiki/Syst%C3%A8me_%C3%A0_maison</w:t>
        </w:r>
      </w:hyperlink>
      <w:r w:rsidR="00930DAA" w:rsidRPr="00930DAA">
        <w:rPr>
          <w:lang w:val="fr-FR"/>
        </w:rPr>
        <w:t xml:space="preserve"> </w:t>
      </w:r>
      <w:r w:rsidR="0081679D">
        <w:rPr>
          <w:lang w:val="fr-FR"/>
        </w:rPr>
        <w:t>)</w:t>
      </w:r>
    </w:p>
    <w:p w:rsidR="00930DAA" w:rsidRPr="0081679D" w:rsidRDefault="00930DAA" w:rsidP="00930DAA">
      <w:pPr>
        <w:pStyle w:val="NormalWeb"/>
      </w:pPr>
      <w:r>
        <w:t>Le système appelé « à maison » par Lévi-Strauss a plus tard été assimilé à la « famille souche »</w:t>
      </w:r>
      <w:r w:rsidR="00DD2FBD">
        <w:t xml:space="preserve"> (</w:t>
      </w:r>
      <w:proofErr w:type="spellStart"/>
      <w:r w:rsidR="00DD2FBD">
        <w:t>engl</w:t>
      </w:r>
      <w:proofErr w:type="spellEnd"/>
      <w:r w:rsidR="00DD2FBD">
        <w:t xml:space="preserve">. </w:t>
      </w:r>
      <w:proofErr w:type="gramStart"/>
      <w:r w:rsidR="00DD2FBD" w:rsidRPr="00DD2FBD">
        <w:rPr>
          <w:i/>
        </w:rPr>
        <w:t>stem</w:t>
      </w:r>
      <w:proofErr w:type="gramEnd"/>
      <w:r w:rsidR="00DD2FBD" w:rsidRPr="00DD2FBD">
        <w:rPr>
          <w:i/>
        </w:rPr>
        <w:t xml:space="preserve"> </w:t>
      </w:r>
      <w:proofErr w:type="spellStart"/>
      <w:r w:rsidR="00DD2FBD" w:rsidRPr="00DD2FBD">
        <w:rPr>
          <w:i/>
        </w:rPr>
        <w:t>family</w:t>
      </w:r>
      <w:proofErr w:type="spellEnd"/>
      <w:r w:rsidR="00DD2FBD">
        <w:t>)</w:t>
      </w:r>
      <w:r>
        <w:t xml:space="preserve"> décrite par Le Play au XIXe s.</w:t>
      </w:r>
      <w:r w:rsidR="0081679D">
        <w:t xml:space="preserve"> </w:t>
      </w:r>
      <w:r>
        <w:t>Il est utile pour envisager le</w:t>
      </w:r>
      <w:r w:rsidR="006770D0">
        <w:t>s</w:t>
      </w:r>
      <w:r>
        <w:t xml:space="preserve"> lignage</w:t>
      </w:r>
      <w:r w:rsidR="006770D0">
        <w:t>s</w:t>
      </w:r>
      <w:r>
        <w:t xml:space="preserve"> est-asien</w:t>
      </w:r>
      <w:r w:rsidR="006770D0">
        <w:t>s</w:t>
      </w:r>
      <w:r>
        <w:t xml:space="preserve"> d’un point de vue comparatif</w:t>
      </w:r>
      <w:r w:rsidR="006770D0">
        <w:rPr>
          <w:rFonts w:ascii="MS Mincho" w:eastAsia="MS Mincho" w:hAnsi="MS Mincho" w:cs="MS Mincho"/>
          <w:lang w:eastAsia="zh-TW"/>
        </w:rPr>
        <w:t>.</w:t>
      </w:r>
    </w:p>
    <w:p w:rsidR="00930DAA" w:rsidRDefault="00930DAA" w:rsidP="00930DAA">
      <w:pPr>
        <w:pStyle w:val="NormalWeb"/>
      </w:pPr>
      <w:r>
        <w:t xml:space="preserve">En publiant en 1975 la première version de son livre la </w:t>
      </w:r>
      <w:r w:rsidRPr="00930DAA">
        <w:rPr>
          <w:i/>
        </w:rPr>
        <w:t>Voie des Masques</w:t>
      </w:r>
      <w:r>
        <w:t xml:space="preserve"> (consacré aux tribus indiennes de Colombie-</w:t>
      </w:r>
      <w:proofErr w:type="spellStart"/>
      <w:r>
        <w:t>Brit</w:t>
      </w:r>
      <w:proofErr w:type="spellEnd"/>
      <w:r>
        <w:t xml:space="preserve">. Vancouver), Lévi-Strauss mentionne ses interrogations sur leur système de parenté. Il va ensuite se pencher sur ses questions dans le cadre de ses cours au </w:t>
      </w:r>
      <w:hyperlink r:id="rId5" w:tooltip="Collège de France" w:history="1">
        <w:r>
          <w:rPr>
            <w:rStyle w:val="Lienhypertexte"/>
          </w:rPr>
          <w:t>Collège de France</w:t>
        </w:r>
      </w:hyperlink>
      <w:hyperlink r:id="rId6" w:anchor="cite_note-5" w:history="1">
        <w:r>
          <w:rPr>
            <w:rStyle w:val="Lienhypertexte"/>
            <w:vertAlign w:val="superscript"/>
          </w:rPr>
          <w:t>5</w:t>
        </w:r>
      </w:hyperlink>
      <w:r>
        <w:t xml:space="preserve">. C’est dans le cadre de son séminaire de 1976 qu’il donne sa première définition de la maison, s’appuyant sur la description des </w:t>
      </w:r>
      <w:hyperlink r:id="rId7" w:tooltip="Yuroks" w:history="1">
        <w:proofErr w:type="spellStart"/>
        <w:r>
          <w:rPr>
            <w:rStyle w:val="Lienhypertexte"/>
          </w:rPr>
          <w:t>Yurok</w:t>
        </w:r>
        <w:proofErr w:type="spellEnd"/>
      </w:hyperlink>
      <w:r>
        <w:t xml:space="preserve"> de Californie et du </w:t>
      </w:r>
      <w:proofErr w:type="spellStart"/>
      <w:r>
        <w:rPr>
          <w:i/>
          <w:iCs/>
        </w:rPr>
        <w:t>numaym</w:t>
      </w:r>
      <w:proofErr w:type="spellEnd"/>
      <w:r>
        <w:t xml:space="preserve"> des </w:t>
      </w:r>
      <w:hyperlink r:id="rId8" w:tooltip="Kwakiutl" w:history="1">
        <w:r>
          <w:rPr>
            <w:rStyle w:val="Lienhypertexte"/>
          </w:rPr>
          <w:t>Kwakiutl</w:t>
        </w:r>
      </w:hyperlink>
      <w:hyperlink r:id="rId9" w:anchor="cite_note-6" w:history="1">
        <w:r>
          <w:rPr>
            <w:rStyle w:val="Lienhypertexte"/>
            <w:vertAlign w:val="superscript"/>
          </w:rPr>
          <w:t>6</w:t>
        </w:r>
      </w:hyperlink>
      <w:r>
        <w:t xml:space="preserve"> : </w:t>
      </w:r>
    </w:p>
    <w:p w:rsidR="00930DAA" w:rsidRDefault="00930DAA" w:rsidP="0081679D">
      <w:pPr>
        <w:pStyle w:val="citation"/>
      </w:pPr>
      <w:proofErr w:type="gramStart"/>
      <w:r>
        <w:t>personne</w:t>
      </w:r>
      <w:proofErr w:type="gramEnd"/>
      <w:r>
        <w:t xml:space="preserve"> morale détentrice d’un domaine qui se perpétue par la transmission de son nom, de sa fortune et de ses titres en ligne réelle ou fictive, tenue pour légitime à la seule condition que cette continuité puisse s’exprimer dans le langage de la parenté ou de l’alliance, et, le plus souvent, des deux ensemble. » </w:t>
      </w:r>
    </w:p>
    <w:p w:rsidR="00930DAA" w:rsidRDefault="00930DAA" w:rsidP="00930DAA">
      <w:pPr>
        <w:pStyle w:val="NormalWeb"/>
      </w:pPr>
      <w:r>
        <w:t xml:space="preserve">Cette définition est reprise en 1979 dans la deuxième édition de la </w:t>
      </w:r>
      <w:r w:rsidRPr="00930DAA">
        <w:rPr>
          <w:i/>
        </w:rPr>
        <w:t>Voie des masques</w:t>
      </w:r>
      <w:r>
        <w:t xml:space="preserve">, son domaine d’application étant alors précisé : </w:t>
      </w:r>
    </w:p>
    <w:p w:rsidR="00930DAA" w:rsidRDefault="00930DAA" w:rsidP="0081679D">
      <w:pPr>
        <w:pStyle w:val="citation"/>
      </w:pPr>
      <w:r>
        <w:t>personne morale détentrice d’un domaine composé à la fois de biens matériels et immatériels, qui se perpétue par la transmission de son nom, de sa fortune et de ses titres en ligne réelle ou fictive, tenue pour légitime à la seule condition que cette continuité puisse s’exprimer dans le langage de la parenté ou de l’alliance, et, le plus souvent, des deux ensemble</w:t>
      </w:r>
      <w:hyperlink r:id="rId10" w:anchor="cite_note-7" w:history="1">
        <w:r>
          <w:rPr>
            <w:rStyle w:val="Lienhypertexte"/>
            <w:vertAlign w:val="superscript"/>
          </w:rPr>
          <w:t>7</w:t>
        </w:r>
      </w:hyperlink>
      <w:r>
        <w:t>. </w:t>
      </w:r>
    </w:p>
    <w:p w:rsidR="00F67218" w:rsidRDefault="008E66C6" w:rsidP="00EA6014">
      <w:pPr>
        <w:pStyle w:val="NormalWeb"/>
      </w:pPr>
      <w:r>
        <w:t xml:space="preserve">(NB. Le problème avec cette définition, c’est qu’elle s’applique assez bien aux lignages chinois </w:t>
      </w:r>
      <w:r w:rsidR="0081679D">
        <w:t>(« communautaires, patriarcaux »</w:t>
      </w:r>
      <w:r w:rsidR="00DD2FBD">
        <w:t xml:space="preserve">, </w:t>
      </w:r>
      <w:proofErr w:type="spellStart"/>
      <w:r w:rsidR="00DD2FBD">
        <w:t>engl</w:t>
      </w:r>
      <w:proofErr w:type="spellEnd"/>
      <w:proofErr w:type="gramStart"/>
      <w:r w:rsidR="00DD2FBD">
        <w:t xml:space="preserve">. </w:t>
      </w:r>
      <w:bookmarkStart w:id="0" w:name="_GoBack"/>
      <w:r w:rsidR="00DD2FBD" w:rsidRPr="00DD2FBD">
        <w:rPr>
          <w:i/>
        </w:rPr>
        <w:t>joint</w:t>
      </w:r>
      <w:proofErr w:type="gramEnd"/>
      <w:r w:rsidR="00DD2FBD" w:rsidRPr="00DD2FBD">
        <w:rPr>
          <w:i/>
        </w:rPr>
        <w:t xml:space="preserve"> </w:t>
      </w:r>
      <w:proofErr w:type="spellStart"/>
      <w:r w:rsidR="00DD2FBD" w:rsidRPr="00DD2FBD">
        <w:rPr>
          <w:i/>
        </w:rPr>
        <w:t>family</w:t>
      </w:r>
      <w:bookmarkEnd w:id="0"/>
      <w:proofErr w:type="spellEnd"/>
      <w:r w:rsidR="0081679D">
        <w:t xml:space="preserve">) </w:t>
      </w:r>
      <w:r>
        <w:t xml:space="preserve">tels qu’ils apparaissent à partir des Song, </w:t>
      </w:r>
      <w:r w:rsidR="0081679D">
        <w:t xml:space="preserve">ca. </w:t>
      </w:r>
      <w:r>
        <w:t>10-11</w:t>
      </w:r>
      <w:r w:rsidRPr="008E66C6">
        <w:rPr>
          <w:vertAlign w:val="superscript"/>
        </w:rPr>
        <w:t>e</w:t>
      </w:r>
      <w:r>
        <w:t xml:space="preserve"> siècle (cf. le lignage de Fan </w:t>
      </w:r>
      <w:proofErr w:type="spellStart"/>
      <w:r>
        <w:t>Zhongyan</w:t>
      </w:r>
      <w:proofErr w:type="spellEnd"/>
      <w:r>
        <w:t xml:space="preserve"> </w:t>
      </w:r>
      <w:r w:rsidR="00EA6014">
        <w:t>et son « </w:t>
      </w:r>
      <w:proofErr w:type="spellStart"/>
      <w:r w:rsidR="00EA6014">
        <w:t>corporate</w:t>
      </w:r>
      <w:proofErr w:type="spellEnd"/>
      <w:r w:rsidR="00EA6014">
        <w:t xml:space="preserve"> charitable </w:t>
      </w:r>
      <w:proofErr w:type="spellStart"/>
      <w:r w:rsidR="00EA6014">
        <w:t>estate</w:t>
      </w:r>
      <w:proofErr w:type="spellEnd"/>
      <w:r w:rsidR="00EA6014">
        <w:t xml:space="preserve"> » </w:t>
      </w:r>
      <w:r>
        <w:t xml:space="preserve">souvent cité en </w:t>
      </w:r>
      <w:r w:rsidR="00EA6014">
        <w:t xml:space="preserve">exemple </w:t>
      </w:r>
      <w:hyperlink r:id="rId11" w:history="1">
        <w:r w:rsidR="00EA6014" w:rsidRPr="009C5CA8">
          <w:rPr>
            <w:rStyle w:val="Lienhypertexte"/>
            <w:sz w:val="16"/>
            <w:szCs w:val="16"/>
          </w:rPr>
          <w:t>https://wiki.samurai-archives.com/index.php?title=Fan_Zhongyan</w:t>
        </w:r>
      </w:hyperlink>
      <w:r>
        <w:t>)</w:t>
      </w:r>
      <w:r w:rsidR="00EA6014">
        <w:t xml:space="preserve">, alors que le modèle « à maison » est censé correspondre plutôt à </w:t>
      </w:r>
      <w:proofErr w:type="spellStart"/>
      <w:r w:rsidR="00EA6014">
        <w:t>l’</w:t>
      </w:r>
      <w:r w:rsidR="00EA6014" w:rsidRPr="00EA6014">
        <w:rPr>
          <w:i/>
        </w:rPr>
        <w:t>ie</w:t>
      </w:r>
      <w:proofErr w:type="spellEnd"/>
      <w:r w:rsidR="00EA6014">
        <w:t xml:space="preserve"> japonaise</w:t>
      </w:r>
      <w:r w:rsidR="0081679D">
        <w:t>.</w:t>
      </w:r>
    </w:p>
    <w:p w:rsidR="00930DAA" w:rsidRPr="00930DAA" w:rsidRDefault="00930DAA" w:rsidP="00930DAA">
      <w:pPr>
        <w:rPr>
          <w:rFonts w:eastAsia="Times New Roman" w:cs="Times New Roman"/>
          <w:sz w:val="24"/>
          <w:szCs w:val="24"/>
          <w:lang w:val="fr-FR" w:eastAsia="zh-CN"/>
        </w:rPr>
      </w:pPr>
      <w:r w:rsidRPr="00930DAA">
        <w:rPr>
          <w:rFonts w:eastAsia="Times New Roman" w:cs="Times New Roman"/>
          <w:sz w:val="24"/>
          <w:szCs w:val="24"/>
          <w:lang w:val="fr-FR" w:eastAsia="zh-CN"/>
        </w:rPr>
        <w:t xml:space="preserve">Le concept de famille souche a été forgé par </w:t>
      </w:r>
      <w:hyperlink r:id="rId12" w:tooltip="Frédéric Le Play" w:history="1">
        <w:r w:rsidRPr="00930DAA">
          <w:rPr>
            <w:rFonts w:eastAsia="Times New Roman" w:cs="Times New Roman"/>
            <w:color w:val="0000FF"/>
            <w:sz w:val="24"/>
            <w:szCs w:val="24"/>
            <w:u w:val="single"/>
            <w:lang w:val="fr-FR" w:eastAsia="zh-CN"/>
          </w:rPr>
          <w:t>Frédéric Le Play</w:t>
        </w:r>
      </w:hyperlink>
      <w:r w:rsidRPr="00930DAA">
        <w:rPr>
          <w:rFonts w:eastAsia="Times New Roman" w:cs="Times New Roman"/>
          <w:sz w:val="24"/>
          <w:szCs w:val="24"/>
          <w:lang w:val="fr-FR" w:eastAsia="zh-CN"/>
        </w:rPr>
        <w:t xml:space="preserve"> au XIX</w:t>
      </w:r>
      <w:r w:rsidRPr="00930DAA">
        <w:rPr>
          <w:rFonts w:eastAsia="Times New Roman" w:cs="Times New Roman"/>
          <w:sz w:val="17"/>
          <w:szCs w:val="17"/>
          <w:vertAlign w:val="superscript"/>
          <w:lang w:val="fr-FR" w:eastAsia="zh-CN"/>
        </w:rPr>
        <w:t>e</w:t>
      </w:r>
      <w:r w:rsidRPr="00930DAA">
        <w:rPr>
          <w:rFonts w:eastAsia="Times New Roman" w:cs="Times New Roman"/>
          <w:sz w:val="24"/>
          <w:szCs w:val="24"/>
          <w:lang w:val="fr-FR" w:eastAsia="zh-CN"/>
        </w:rPr>
        <w:t xml:space="preserve"> siècle pour décrire un mode de </w:t>
      </w:r>
      <w:hyperlink r:id="rId13" w:tooltip="Dévolution" w:history="1">
        <w:r w:rsidRPr="00930DAA">
          <w:rPr>
            <w:rFonts w:eastAsia="Times New Roman" w:cs="Times New Roman"/>
            <w:color w:val="0000FF"/>
            <w:sz w:val="24"/>
            <w:szCs w:val="24"/>
            <w:u w:val="single"/>
            <w:lang w:val="fr-FR" w:eastAsia="zh-CN"/>
          </w:rPr>
          <w:t>dévolution</w:t>
        </w:r>
      </w:hyperlink>
      <w:r w:rsidRPr="00930DAA">
        <w:rPr>
          <w:rFonts w:eastAsia="Times New Roman" w:cs="Times New Roman"/>
          <w:sz w:val="24"/>
          <w:szCs w:val="24"/>
          <w:lang w:val="fr-FR" w:eastAsia="zh-CN"/>
        </w:rPr>
        <w:t xml:space="preserve"> </w:t>
      </w:r>
      <w:hyperlink r:id="rId14" w:tooltip="Préciput" w:history="1">
        <w:r w:rsidRPr="00930DAA">
          <w:rPr>
            <w:rFonts w:eastAsia="Times New Roman" w:cs="Times New Roman"/>
            <w:color w:val="0000FF"/>
            <w:sz w:val="24"/>
            <w:szCs w:val="24"/>
            <w:u w:val="single"/>
            <w:lang w:val="fr-FR" w:eastAsia="zh-CN"/>
          </w:rPr>
          <w:t>préciputaire</w:t>
        </w:r>
      </w:hyperlink>
      <w:r w:rsidRPr="00930DAA">
        <w:rPr>
          <w:rFonts w:eastAsia="Times New Roman" w:cs="Times New Roman"/>
          <w:sz w:val="24"/>
          <w:szCs w:val="24"/>
          <w:lang w:val="fr-FR" w:eastAsia="zh-CN"/>
        </w:rPr>
        <w:t xml:space="preserve"> (c’est-à-dire à héritier unique) des biens, matériels et éventuellement non matériels, les enfants exclus de l’héritage étant dédommagés par différents moyens (par exemple la </w:t>
      </w:r>
      <w:hyperlink r:id="rId15" w:tooltip="Dot" w:history="1">
        <w:r w:rsidRPr="00930DAA">
          <w:rPr>
            <w:rFonts w:eastAsia="Times New Roman" w:cs="Times New Roman"/>
            <w:color w:val="0000FF"/>
            <w:sz w:val="24"/>
            <w:szCs w:val="24"/>
            <w:u w:val="single"/>
            <w:lang w:val="fr-FR" w:eastAsia="zh-CN"/>
          </w:rPr>
          <w:t>dot</w:t>
        </w:r>
      </w:hyperlink>
      <w:r w:rsidRPr="00930DAA">
        <w:rPr>
          <w:rFonts w:eastAsia="Times New Roman" w:cs="Times New Roman"/>
          <w:sz w:val="24"/>
          <w:szCs w:val="24"/>
          <w:lang w:val="fr-FR" w:eastAsia="zh-CN"/>
        </w:rPr>
        <w:t xml:space="preserve">). On retrouve dans les descriptions de la famille souche, dès les monographies de Le Play dans les Pyrénées puis chez ses continuateurs, le principe fondamental du système à maison à savoir la permanence sur la longue durée de la résidence familiale, prioritaire sur toute autre considération dans la vie en société. </w:t>
      </w:r>
    </w:p>
    <w:p w:rsidR="00930DAA" w:rsidRDefault="00930DAA" w:rsidP="00336F1B">
      <w:pPr>
        <w:rPr>
          <w:lang w:val="fr-FR"/>
        </w:rPr>
      </w:pPr>
    </w:p>
    <w:p w:rsidR="00930DAA" w:rsidRPr="00930DAA" w:rsidRDefault="00930DAA" w:rsidP="00930DAA">
      <w:pPr>
        <w:rPr>
          <w:rFonts w:eastAsia="Times New Roman" w:cs="Times New Roman"/>
          <w:sz w:val="24"/>
          <w:szCs w:val="24"/>
          <w:lang w:val="fr-FR" w:eastAsia="zh-CN"/>
        </w:rPr>
      </w:pPr>
      <w:r>
        <w:rPr>
          <w:rFonts w:eastAsia="Times New Roman" w:cs="Times New Roman"/>
          <w:sz w:val="24"/>
          <w:szCs w:val="24"/>
          <w:lang w:val="fr-FR" w:eastAsia="zh-CN"/>
        </w:rPr>
        <w:t>E</w:t>
      </w:r>
      <w:r w:rsidRPr="00930DAA">
        <w:rPr>
          <w:rFonts w:eastAsia="Times New Roman" w:cs="Times New Roman"/>
          <w:sz w:val="24"/>
          <w:szCs w:val="24"/>
          <w:lang w:val="fr-FR" w:eastAsia="zh-CN"/>
        </w:rPr>
        <w:t>n dehors d’Europe, outre les peuples indiens de Colombie-Britannique de sa première description, des systèmes à maison ont été identifiés par Lévi-Strauss et par d’autres chercheurs chez nombre de populations d’Asie, d’Océanie et de Madagascar, et plus particulièrement en Polynésie (</w:t>
      </w:r>
      <w:hyperlink r:id="rId16" w:tooltip="Tonga" w:history="1">
        <w:r w:rsidRPr="00930DAA">
          <w:rPr>
            <w:rFonts w:eastAsia="Times New Roman" w:cs="Times New Roman"/>
            <w:color w:val="0000FF"/>
            <w:sz w:val="24"/>
            <w:szCs w:val="24"/>
            <w:u w:val="single"/>
            <w:lang w:val="fr-FR" w:eastAsia="zh-CN"/>
          </w:rPr>
          <w:t>Tonga</w:t>
        </w:r>
      </w:hyperlink>
      <w:r w:rsidRPr="00930DAA">
        <w:rPr>
          <w:rFonts w:eastAsia="Times New Roman" w:cs="Times New Roman"/>
          <w:sz w:val="24"/>
          <w:szCs w:val="24"/>
          <w:lang w:val="fr-FR" w:eastAsia="zh-CN"/>
        </w:rPr>
        <w:t>) et chez les populations d’origine dite austronésienne. Il existe un assez large consensus chez les historiens pour en reconnaître également dans une partie de l’</w:t>
      </w:r>
      <w:r w:rsidRPr="00930DAA">
        <w:rPr>
          <w:rFonts w:eastAsia="Times New Roman" w:cs="Times New Roman"/>
          <w:i/>
          <w:sz w:val="24"/>
          <w:szCs w:val="24"/>
          <w:lang w:val="fr-FR" w:eastAsia="zh-CN"/>
        </w:rPr>
        <w:t>Extrême Orient continental dont la Corée</w:t>
      </w:r>
      <w:hyperlink r:id="rId17" w:anchor="cite_note-Todd2011-22" w:history="1">
        <w:r w:rsidRPr="00930DAA">
          <w:rPr>
            <w:rFonts w:eastAsia="Times New Roman" w:cs="Times New Roman"/>
            <w:i/>
            <w:color w:val="0000FF"/>
            <w:sz w:val="24"/>
            <w:szCs w:val="24"/>
            <w:u w:val="single"/>
            <w:vertAlign w:val="superscript"/>
            <w:lang w:val="fr-FR" w:eastAsia="zh-CN"/>
          </w:rPr>
          <w:t>22</w:t>
        </w:r>
      </w:hyperlink>
      <w:r w:rsidRPr="00930DAA">
        <w:rPr>
          <w:rFonts w:eastAsia="Times New Roman" w:cs="Times New Roman"/>
          <w:i/>
          <w:sz w:val="24"/>
          <w:szCs w:val="24"/>
          <w:lang w:val="fr-FR" w:eastAsia="zh-CN"/>
        </w:rPr>
        <w:t>, et surtout au Japon où le « </w:t>
      </w:r>
      <w:proofErr w:type="spellStart"/>
      <w:r w:rsidRPr="00930DAA">
        <w:rPr>
          <w:rFonts w:eastAsia="Times New Roman" w:cs="Times New Roman"/>
          <w:i/>
          <w:sz w:val="24"/>
          <w:szCs w:val="24"/>
          <w:lang w:val="fr-FR" w:eastAsia="zh-CN"/>
        </w:rPr>
        <w:fldChar w:fldCharType="begin"/>
      </w:r>
      <w:r w:rsidRPr="00930DAA">
        <w:rPr>
          <w:rFonts w:eastAsia="Times New Roman" w:cs="Times New Roman"/>
          <w:i/>
          <w:sz w:val="24"/>
          <w:szCs w:val="24"/>
          <w:lang w:val="fr-FR" w:eastAsia="zh-CN"/>
        </w:rPr>
        <w:instrText xml:space="preserve"> HYPERLINK "https://fr.wikipedia.org/wiki/Ie_(famille)" \o "Ie (famille)" </w:instrText>
      </w:r>
      <w:r w:rsidRPr="00930DAA">
        <w:rPr>
          <w:rFonts w:eastAsia="Times New Roman" w:cs="Times New Roman"/>
          <w:i/>
          <w:sz w:val="24"/>
          <w:szCs w:val="24"/>
          <w:lang w:val="fr-FR" w:eastAsia="zh-CN"/>
        </w:rPr>
        <w:fldChar w:fldCharType="separate"/>
      </w:r>
      <w:r w:rsidRPr="00930DAA">
        <w:rPr>
          <w:rFonts w:eastAsia="Times New Roman" w:cs="Times New Roman"/>
          <w:i/>
          <w:color w:val="0000FF"/>
          <w:sz w:val="24"/>
          <w:szCs w:val="24"/>
          <w:u w:val="single"/>
          <w:lang w:val="fr-FR" w:eastAsia="zh-CN"/>
        </w:rPr>
        <w:t>ie</w:t>
      </w:r>
      <w:proofErr w:type="spellEnd"/>
      <w:r w:rsidRPr="00930DAA">
        <w:rPr>
          <w:rFonts w:eastAsia="Times New Roman" w:cs="Times New Roman"/>
          <w:i/>
          <w:sz w:val="24"/>
          <w:szCs w:val="24"/>
          <w:lang w:val="fr-FR" w:eastAsia="zh-CN"/>
        </w:rPr>
        <w:fldChar w:fldCharType="end"/>
      </w:r>
      <w:r w:rsidRPr="00930DAA">
        <w:rPr>
          <w:rFonts w:eastAsia="Times New Roman" w:cs="Times New Roman"/>
          <w:i/>
          <w:sz w:val="24"/>
          <w:szCs w:val="24"/>
          <w:lang w:val="fr-FR" w:eastAsia="zh-CN"/>
        </w:rPr>
        <w:t> » est considéré comme une des « maisons » historiquement parmi les plus pures</w:t>
      </w:r>
      <w:r w:rsidRPr="00930DAA">
        <w:rPr>
          <w:rFonts w:eastAsia="Times New Roman" w:cs="Times New Roman"/>
          <w:sz w:val="24"/>
          <w:szCs w:val="24"/>
          <w:lang w:val="fr-FR" w:eastAsia="zh-CN"/>
        </w:rPr>
        <w:t>, les plus anciennes et les plus homogènes géographiquement</w:t>
      </w:r>
      <w:hyperlink r:id="rId18" w:anchor="cite_note-23" w:history="1">
        <w:r w:rsidRPr="00930DAA">
          <w:rPr>
            <w:rFonts w:eastAsia="Times New Roman" w:cs="Times New Roman"/>
            <w:color w:val="0000FF"/>
            <w:sz w:val="24"/>
            <w:szCs w:val="24"/>
            <w:u w:val="single"/>
            <w:vertAlign w:val="superscript"/>
            <w:lang w:val="fr-FR" w:eastAsia="zh-CN"/>
          </w:rPr>
          <w:t>23</w:t>
        </w:r>
      </w:hyperlink>
    </w:p>
    <w:p w:rsidR="00930DAA" w:rsidRDefault="00930DAA" w:rsidP="00336F1B">
      <w:pPr>
        <w:rPr>
          <w:lang w:val="fr-FR"/>
        </w:rPr>
      </w:pPr>
    </w:p>
    <w:p w:rsidR="00EA6014" w:rsidRDefault="009A66F2" w:rsidP="0081679D">
      <w:pPr>
        <w:pStyle w:val="citation"/>
      </w:pPr>
      <w:r>
        <w:lastRenderedPageBreak/>
        <w:t>Le Play </w:t>
      </w:r>
      <w:r w:rsidR="00EA6014">
        <w:t>cherchait à reconstituer « </w:t>
      </w:r>
      <w:r w:rsidRPr="009A66F2">
        <w:t>l’histoire des trois régimes sous lesquels la famille s’est constituée, de tout temps, chez toutes les races d’hommes »</w:t>
      </w:r>
      <w:hyperlink r:id="rId19" w:anchor="cite_note-:2-26" w:history="1">
        <w:r w:rsidRPr="009A66F2">
          <w:rPr>
            <w:rStyle w:val="Lienhypertexte"/>
            <w:vertAlign w:val="superscript"/>
          </w:rPr>
          <w:t>26</w:t>
        </w:r>
      </w:hyperlink>
      <w:r w:rsidRPr="009A66F2">
        <w:t xml:space="preserve"> (</w:t>
      </w:r>
      <w:proofErr w:type="spellStart"/>
      <w:r w:rsidRPr="009A66F2">
        <w:t>p.XXII</w:t>
      </w:r>
      <w:proofErr w:type="spellEnd"/>
      <w:r w:rsidRPr="009A66F2">
        <w:t xml:space="preserve">) […] </w:t>
      </w:r>
    </w:p>
    <w:p w:rsidR="009A66F2" w:rsidRDefault="0081679D" w:rsidP="0081679D">
      <w:pPr>
        <w:pStyle w:val="citation"/>
      </w:pPr>
      <w:r>
        <w:t>S</w:t>
      </w:r>
      <w:r w:rsidR="00EA6014">
        <w:t xml:space="preserve">elon sa sociologie très déterministe : </w:t>
      </w:r>
      <w:r w:rsidR="009A66F2" w:rsidRPr="009A66F2">
        <w:t xml:space="preserve">« Le régime de la famille imprime aux populations leur caractère distinctif et crée ainsi leur destinée. La </w:t>
      </w:r>
      <w:r w:rsidR="009A66F2" w:rsidRPr="009A66F2">
        <w:rPr>
          <w:i/>
        </w:rPr>
        <w:t>famille patriarcale</w:t>
      </w:r>
      <w:r w:rsidR="009A66F2" w:rsidRPr="009A66F2">
        <w:t xml:space="preserve"> entretient l’esprit de tradition et de communauté. La </w:t>
      </w:r>
      <w:r w:rsidR="009A66F2" w:rsidRPr="009A66F2">
        <w:rPr>
          <w:i/>
        </w:rPr>
        <w:t xml:space="preserve">famille instable </w:t>
      </w:r>
      <w:r w:rsidR="009A66F2" w:rsidRPr="009A66F2">
        <w:t>développe l’esprit de nouveauté et d’individualisme. Quant à la f</w:t>
      </w:r>
      <w:r w:rsidR="009A66F2" w:rsidRPr="009A66F2">
        <w:rPr>
          <w:i/>
        </w:rPr>
        <w:t>amille souche,</w:t>
      </w:r>
      <w:r w:rsidR="009A66F2" w:rsidRPr="009A66F2">
        <w:t xml:space="preserve"> elle conjure les exagérations et réunit les avantages de ces deux tendances opposées</w:t>
      </w:r>
      <w:hyperlink r:id="rId20" w:anchor="cite_note-:2-26" w:history="1">
        <w:r w:rsidR="009A66F2" w:rsidRPr="009A66F2">
          <w:rPr>
            <w:rStyle w:val="Lienhypertexte"/>
            <w:vertAlign w:val="superscript"/>
          </w:rPr>
          <w:t>26</w:t>
        </w:r>
      </w:hyperlink>
    </w:p>
    <w:p w:rsidR="009A66F2" w:rsidRDefault="009A66F2" w:rsidP="00336F1B">
      <w:pPr>
        <w:rPr>
          <w:lang w:val="fr-FR"/>
        </w:rPr>
      </w:pPr>
    </w:p>
    <w:p w:rsidR="009A66F2" w:rsidRDefault="009A66F2" w:rsidP="009A66F2">
      <w:pPr>
        <w:rPr>
          <w:sz w:val="24"/>
          <w:szCs w:val="24"/>
          <w:lang w:val="fr-FR"/>
        </w:rPr>
      </w:pPr>
      <w:r w:rsidRPr="009A66F2">
        <w:rPr>
          <w:sz w:val="24"/>
          <w:szCs w:val="24"/>
          <w:lang w:val="fr-FR"/>
        </w:rPr>
        <w:t>Progressivement dans les années 1970, des historiens ou ethnologues commencent à critiquer l’approche structurale leplaysienne</w:t>
      </w:r>
      <w:hyperlink r:id="rId21" w:anchor="cite_note-38" w:history="1">
        <w:r w:rsidRPr="009A66F2">
          <w:rPr>
            <w:rStyle w:val="Lienhypertexte"/>
            <w:sz w:val="24"/>
            <w:szCs w:val="24"/>
            <w:vertAlign w:val="superscript"/>
            <w:lang w:val="fr-FR"/>
          </w:rPr>
          <w:t>38</w:t>
        </w:r>
      </w:hyperlink>
      <w:r w:rsidRPr="009A66F2">
        <w:rPr>
          <w:sz w:val="24"/>
          <w:szCs w:val="24"/>
          <w:lang w:val="fr-FR"/>
        </w:rPr>
        <w:t xml:space="preserve">, puis dans les années 1980 la conception </w:t>
      </w:r>
      <w:proofErr w:type="spellStart"/>
      <w:r w:rsidRPr="009A66F2">
        <w:rPr>
          <w:sz w:val="24"/>
          <w:szCs w:val="24"/>
          <w:lang w:val="fr-FR"/>
        </w:rPr>
        <w:t>lévi</w:t>
      </w:r>
      <w:proofErr w:type="spellEnd"/>
      <w:r w:rsidRPr="009A66F2">
        <w:rPr>
          <w:sz w:val="24"/>
          <w:szCs w:val="24"/>
          <w:lang w:val="fr-FR"/>
        </w:rPr>
        <w:t xml:space="preserve">-straussienne de la maison comme excessivement </w:t>
      </w:r>
      <w:proofErr w:type="spellStart"/>
      <w:r w:rsidRPr="009A66F2">
        <w:rPr>
          <w:sz w:val="24"/>
          <w:szCs w:val="24"/>
          <w:lang w:val="fr-FR"/>
        </w:rPr>
        <w:t>essentialisante</w:t>
      </w:r>
      <w:proofErr w:type="spellEnd"/>
      <w:r w:rsidRPr="009A66F2">
        <w:rPr>
          <w:sz w:val="24"/>
          <w:szCs w:val="24"/>
          <w:lang w:val="fr-FR"/>
        </w:rPr>
        <w:t xml:space="preserve">. C’est parfois jusqu’à l’utilité même du concept de maison qui est remise en question, en faisant valoir la polysémie du terme, l’absence de contours clairement établis du concept et le danger à classer des sociétés dans une catégorie aussi vaste et mal définie. </w:t>
      </w:r>
    </w:p>
    <w:p w:rsidR="009A66F2" w:rsidRDefault="009A66F2" w:rsidP="009A66F2">
      <w:pPr>
        <w:rPr>
          <w:lang w:val="fr-FR" w:eastAsia="zh-CN"/>
        </w:rPr>
      </w:pPr>
      <w:r w:rsidRPr="009A66F2">
        <w:rPr>
          <w:lang w:val="fr-FR"/>
        </w:rPr>
        <w:t>L’historien Elie Haddad en 2014 note également le glissement sémantique du terme de maison depuis l’</w:t>
      </w:r>
      <w:hyperlink r:id="rId22" w:tooltip="Anthropologie structurale" w:history="1">
        <w:r w:rsidRPr="009A66F2">
          <w:rPr>
            <w:rStyle w:val="Lienhypertexte"/>
            <w:lang w:val="fr-FR"/>
          </w:rPr>
          <w:t>approche structurale</w:t>
        </w:r>
      </w:hyperlink>
      <w:r w:rsidRPr="009A66F2">
        <w:rPr>
          <w:lang w:val="fr-FR"/>
        </w:rPr>
        <w:t xml:space="preserve"> </w:t>
      </w:r>
      <w:proofErr w:type="spellStart"/>
      <w:r w:rsidRPr="009A66F2">
        <w:rPr>
          <w:lang w:val="fr-FR"/>
        </w:rPr>
        <w:t>lévi</w:t>
      </w:r>
      <w:proofErr w:type="spellEnd"/>
      <w:r w:rsidRPr="009A66F2">
        <w:rPr>
          <w:lang w:val="fr-FR"/>
        </w:rPr>
        <w:t>-straussienne, lui reconnaissant « une valeur heuristique mais à condition de ne pas croire que, par son usage, l’historien décrit une essence sociale ou la nature de la société nobiliaire »</w:t>
      </w:r>
      <w:hyperlink r:id="rId23" w:anchor="cite_note-41" w:history="1">
        <w:r w:rsidRPr="009A66F2">
          <w:rPr>
            <w:rStyle w:val="Lienhypertexte"/>
            <w:vertAlign w:val="superscript"/>
            <w:lang w:val="fr-FR"/>
          </w:rPr>
          <w:t>41</w:t>
        </w:r>
      </w:hyperlink>
      <w:r w:rsidRPr="009A66F2">
        <w:rPr>
          <w:lang w:val="fr-FR"/>
        </w:rPr>
        <w:t xml:space="preserve">. </w:t>
      </w:r>
    </w:p>
    <w:p w:rsidR="009A66F2" w:rsidRPr="009A66F2" w:rsidRDefault="009A66F2" w:rsidP="009A66F2">
      <w:pPr>
        <w:rPr>
          <w:b/>
          <w:sz w:val="24"/>
          <w:szCs w:val="24"/>
          <w:lang w:val="fr-FR" w:eastAsia="zh-CN"/>
        </w:rPr>
      </w:pPr>
    </w:p>
    <w:p w:rsidR="009A66F2" w:rsidRPr="00F67218" w:rsidRDefault="009A66F2" w:rsidP="00336F1B">
      <w:pPr>
        <w:rPr>
          <w:lang w:val="fr-FR"/>
        </w:rPr>
      </w:pPr>
    </w:p>
    <w:sectPr w:rsidR="009A66F2" w:rsidRPr="00F67218" w:rsidSect="00A71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18"/>
    <w:rsid w:val="00003093"/>
    <w:rsid w:val="00007DE9"/>
    <w:rsid w:val="00025FB2"/>
    <w:rsid w:val="000865DC"/>
    <w:rsid w:val="000B675F"/>
    <w:rsid w:val="000C4724"/>
    <w:rsid w:val="000F53A0"/>
    <w:rsid w:val="000F5933"/>
    <w:rsid w:val="000F6FBB"/>
    <w:rsid w:val="00121E9B"/>
    <w:rsid w:val="00151769"/>
    <w:rsid w:val="001C658D"/>
    <w:rsid w:val="0022388D"/>
    <w:rsid w:val="00336F1B"/>
    <w:rsid w:val="003F1ABB"/>
    <w:rsid w:val="004164BF"/>
    <w:rsid w:val="0043448B"/>
    <w:rsid w:val="004B7A55"/>
    <w:rsid w:val="004E248D"/>
    <w:rsid w:val="004E2C14"/>
    <w:rsid w:val="004F3732"/>
    <w:rsid w:val="00524ED3"/>
    <w:rsid w:val="005E32B3"/>
    <w:rsid w:val="00636791"/>
    <w:rsid w:val="00651D9C"/>
    <w:rsid w:val="006770D0"/>
    <w:rsid w:val="006D2FBD"/>
    <w:rsid w:val="0076719C"/>
    <w:rsid w:val="007B58A4"/>
    <w:rsid w:val="007E1F52"/>
    <w:rsid w:val="0081679D"/>
    <w:rsid w:val="008E5D6A"/>
    <w:rsid w:val="008E66C6"/>
    <w:rsid w:val="00903A7D"/>
    <w:rsid w:val="00922341"/>
    <w:rsid w:val="00930DAA"/>
    <w:rsid w:val="00964EC6"/>
    <w:rsid w:val="009A66F2"/>
    <w:rsid w:val="009B410B"/>
    <w:rsid w:val="00A23FC6"/>
    <w:rsid w:val="00A30E39"/>
    <w:rsid w:val="00A71764"/>
    <w:rsid w:val="00AA6745"/>
    <w:rsid w:val="00AB611B"/>
    <w:rsid w:val="00B12AEB"/>
    <w:rsid w:val="00B20C98"/>
    <w:rsid w:val="00B47DA4"/>
    <w:rsid w:val="00B530FC"/>
    <w:rsid w:val="00BB7E9C"/>
    <w:rsid w:val="00C37715"/>
    <w:rsid w:val="00C93FE6"/>
    <w:rsid w:val="00CB0267"/>
    <w:rsid w:val="00CF0B76"/>
    <w:rsid w:val="00D43747"/>
    <w:rsid w:val="00DD2FBD"/>
    <w:rsid w:val="00DF05CA"/>
    <w:rsid w:val="00E2060D"/>
    <w:rsid w:val="00E26D4C"/>
    <w:rsid w:val="00E7002B"/>
    <w:rsid w:val="00E75583"/>
    <w:rsid w:val="00EA6014"/>
    <w:rsid w:val="00EC41CF"/>
    <w:rsid w:val="00F6522C"/>
    <w:rsid w:val="00F67218"/>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4F7AEF"/>
  <w14:defaultImageDpi w14:val="32767"/>
  <w15:chartTrackingRefBased/>
  <w15:docId w15:val="{10A2D27E-275E-1846-A874-3D2C23CF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szCs w:val="24"/>
      <w:lang w:val="fr-FR" w:eastAsia="zh-TW"/>
    </w:rPr>
  </w:style>
  <w:style w:type="paragraph" w:styleId="NormalWeb">
    <w:name w:val="Normal (Web)"/>
    <w:basedOn w:val="Normal"/>
    <w:uiPriority w:val="99"/>
    <w:unhideWhenUsed/>
    <w:rsid w:val="00930DAA"/>
    <w:pPr>
      <w:spacing w:before="100" w:beforeAutospacing="1" w:after="100" w:afterAutospacing="1"/>
    </w:pPr>
    <w:rPr>
      <w:rFonts w:eastAsia="Times New Roman" w:cs="Times New Roman"/>
      <w:sz w:val="24"/>
      <w:szCs w:val="24"/>
      <w:lang w:val="fr-FR" w:eastAsia="zh-CN"/>
    </w:rPr>
  </w:style>
  <w:style w:type="character" w:styleId="Lienhypertexte">
    <w:name w:val="Hyperlink"/>
    <w:basedOn w:val="Policepardfaut"/>
    <w:uiPriority w:val="99"/>
    <w:unhideWhenUsed/>
    <w:rsid w:val="00930DAA"/>
    <w:rPr>
      <w:color w:val="0000FF"/>
      <w:u w:val="single"/>
    </w:rPr>
  </w:style>
  <w:style w:type="character" w:styleId="Mentionnonrsolue">
    <w:name w:val="Unresolved Mention"/>
    <w:basedOn w:val="Policepardfaut"/>
    <w:uiPriority w:val="99"/>
    <w:rsid w:val="00930DAA"/>
    <w:rPr>
      <w:color w:val="605E5C"/>
      <w:shd w:val="clear" w:color="auto" w:fill="E1DFDD"/>
    </w:rPr>
  </w:style>
  <w:style w:type="character" w:customStyle="1" w:styleId="romain">
    <w:name w:val="romain"/>
    <w:basedOn w:val="Policepardfaut"/>
    <w:rsid w:val="00930DAA"/>
  </w:style>
  <w:style w:type="character" w:styleId="Lienhypertextesuivivisit">
    <w:name w:val="FollowedHyperlink"/>
    <w:basedOn w:val="Policepardfaut"/>
    <w:uiPriority w:val="99"/>
    <w:semiHidden/>
    <w:unhideWhenUsed/>
    <w:rsid w:val="00677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8642">
      <w:bodyDiv w:val="1"/>
      <w:marLeft w:val="0"/>
      <w:marRight w:val="0"/>
      <w:marTop w:val="0"/>
      <w:marBottom w:val="0"/>
      <w:divBdr>
        <w:top w:val="none" w:sz="0" w:space="0" w:color="auto"/>
        <w:left w:val="none" w:sz="0" w:space="0" w:color="auto"/>
        <w:bottom w:val="none" w:sz="0" w:space="0" w:color="auto"/>
        <w:right w:val="none" w:sz="0" w:space="0" w:color="auto"/>
      </w:divBdr>
    </w:div>
    <w:div w:id="552426265">
      <w:bodyDiv w:val="1"/>
      <w:marLeft w:val="0"/>
      <w:marRight w:val="0"/>
      <w:marTop w:val="0"/>
      <w:marBottom w:val="0"/>
      <w:divBdr>
        <w:top w:val="none" w:sz="0" w:space="0" w:color="auto"/>
        <w:left w:val="none" w:sz="0" w:space="0" w:color="auto"/>
        <w:bottom w:val="none" w:sz="0" w:space="0" w:color="auto"/>
        <w:right w:val="none" w:sz="0" w:space="0" w:color="auto"/>
      </w:divBdr>
    </w:div>
    <w:div w:id="552738226">
      <w:bodyDiv w:val="1"/>
      <w:marLeft w:val="0"/>
      <w:marRight w:val="0"/>
      <w:marTop w:val="0"/>
      <w:marBottom w:val="0"/>
      <w:divBdr>
        <w:top w:val="none" w:sz="0" w:space="0" w:color="auto"/>
        <w:left w:val="none" w:sz="0" w:space="0" w:color="auto"/>
        <w:bottom w:val="none" w:sz="0" w:space="0" w:color="auto"/>
        <w:right w:val="none" w:sz="0" w:space="0" w:color="auto"/>
      </w:divBdr>
      <w:divsChild>
        <w:div w:id="29695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557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242503">
      <w:bodyDiv w:val="1"/>
      <w:marLeft w:val="0"/>
      <w:marRight w:val="0"/>
      <w:marTop w:val="0"/>
      <w:marBottom w:val="0"/>
      <w:divBdr>
        <w:top w:val="none" w:sz="0" w:space="0" w:color="auto"/>
        <w:left w:val="none" w:sz="0" w:space="0" w:color="auto"/>
        <w:bottom w:val="none" w:sz="0" w:space="0" w:color="auto"/>
        <w:right w:val="none" w:sz="0" w:space="0" w:color="auto"/>
      </w:divBdr>
    </w:div>
    <w:div w:id="1422943960">
      <w:bodyDiv w:val="1"/>
      <w:marLeft w:val="0"/>
      <w:marRight w:val="0"/>
      <w:marTop w:val="0"/>
      <w:marBottom w:val="0"/>
      <w:divBdr>
        <w:top w:val="none" w:sz="0" w:space="0" w:color="auto"/>
        <w:left w:val="none" w:sz="0" w:space="0" w:color="auto"/>
        <w:bottom w:val="none" w:sz="0" w:space="0" w:color="auto"/>
        <w:right w:val="none" w:sz="0" w:space="0" w:color="auto"/>
      </w:divBdr>
    </w:div>
    <w:div w:id="1784299997">
      <w:bodyDiv w:val="1"/>
      <w:marLeft w:val="0"/>
      <w:marRight w:val="0"/>
      <w:marTop w:val="0"/>
      <w:marBottom w:val="0"/>
      <w:divBdr>
        <w:top w:val="none" w:sz="0" w:space="0" w:color="auto"/>
        <w:left w:val="none" w:sz="0" w:space="0" w:color="auto"/>
        <w:bottom w:val="none" w:sz="0" w:space="0" w:color="auto"/>
        <w:right w:val="none" w:sz="0" w:space="0" w:color="auto"/>
      </w:divBdr>
    </w:div>
    <w:div w:id="21014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Kwakiutl" TargetMode="External"/><Relationship Id="rId13" Type="http://schemas.openxmlformats.org/officeDocument/2006/relationships/hyperlink" Target="https://fr.wikipedia.org/wiki/D%C3%A9volution" TargetMode="External"/><Relationship Id="rId18" Type="http://schemas.openxmlformats.org/officeDocument/2006/relationships/hyperlink" Target="https://fr.wikipedia.org/wiki/Syst%C3%A8me_%C3%A0_maison" TargetMode="External"/><Relationship Id="rId3" Type="http://schemas.openxmlformats.org/officeDocument/2006/relationships/webSettings" Target="webSettings.xml"/><Relationship Id="rId21" Type="http://schemas.openxmlformats.org/officeDocument/2006/relationships/hyperlink" Target="https://fr.wikipedia.org/wiki/Syst%C3%A8me_%C3%A0_maison" TargetMode="External"/><Relationship Id="rId7" Type="http://schemas.openxmlformats.org/officeDocument/2006/relationships/hyperlink" Target="https://fr.wikipedia.org/wiki/Yuroks" TargetMode="External"/><Relationship Id="rId12" Type="http://schemas.openxmlformats.org/officeDocument/2006/relationships/hyperlink" Target="https://fr.wikipedia.org/wiki/Fr%C3%A9d%C3%A9ric_Le_Play" TargetMode="External"/><Relationship Id="rId17" Type="http://schemas.openxmlformats.org/officeDocument/2006/relationships/hyperlink" Target="https://fr.wikipedia.org/wiki/Syst%C3%A8me_%C3%A0_mais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wikipedia.org/wiki/Tonga" TargetMode="External"/><Relationship Id="rId20" Type="http://schemas.openxmlformats.org/officeDocument/2006/relationships/hyperlink" Target="https://fr.wikipedia.org/wiki/Syst%C3%A8me_%C3%A0_maison" TargetMode="External"/><Relationship Id="rId1" Type="http://schemas.openxmlformats.org/officeDocument/2006/relationships/styles" Target="styles.xml"/><Relationship Id="rId6" Type="http://schemas.openxmlformats.org/officeDocument/2006/relationships/hyperlink" Target="https://fr.wikipedia.org/wiki/Syst%C3%A8me_%C3%A0_maison" TargetMode="External"/><Relationship Id="rId11" Type="http://schemas.openxmlformats.org/officeDocument/2006/relationships/hyperlink" Target="https://wiki.samurai-archives.com/index.php?title=Fan_Zhongyan" TargetMode="External"/><Relationship Id="rId24" Type="http://schemas.openxmlformats.org/officeDocument/2006/relationships/fontTable" Target="fontTable.xml"/><Relationship Id="rId5" Type="http://schemas.openxmlformats.org/officeDocument/2006/relationships/hyperlink" Target="https://fr.wikipedia.org/wiki/Coll%C3%A8ge_de_France" TargetMode="External"/><Relationship Id="rId15" Type="http://schemas.openxmlformats.org/officeDocument/2006/relationships/hyperlink" Target="https://fr.wikipedia.org/wiki/Dot" TargetMode="External"/><Relationship Id="rId23" Type="http://schemas.openxmlformats.org/officeDocument/2006/relationships/hyperlink" Target="https://fr.wikipedia.org/wiki/Syst%C3%A8me_%C3%A0_maison" TargetMode="External"/><Relationship Id="rId10" Type="http://schemas.openxmlformats.org/officeDocument/2006/relationships/hyperlink" Target="https://fr.wikipedia.org/wiki/Syst%C3%A8me_%C3%A0_maison" TargetMode="External"/><Relationship Id="rId19" Type="http://schemas.openxmlformats.org/officeDocument/2006/relationships/hyperlink" Target="https://fr.wikipedia.org/wiki/Syst%C3%A8me_%C3%A0_maison" TargetMode="External"/><Relationship Id="rId4" Type="http://schemas.openxmlformats.org/officeDocument/2006/relationships/hyperlink" Target="https://fr.wikipedia.org/wiki/Syst%C3%A8me_%C3%A0_maison" TargetMode="External"/><Relationship Id="rId9" Type="http://schemas.openxmlformats.org/officeDocument/2006/relationships/hyperlink" Target="https://fr.wikipedia.org/wiki/Syst%C3%A8me_%C3%A0_maison" TargetMode="External"/><Relationship Id="rId14" Type="http://schemas.openxmlformats.org/officeDocument/2006/relationships/hyperlink" Target="https://fr.wikipedia.org/wiki/Pr%C3%A9ciput" TargetMode="External"/><Relationship Id="rId22" Type="http://schemas.openxmlformats.org/officeDocument/2006/relationships/hyperlink" Target="https://fr.wikipedia.org/wiki/Anthropologie_structura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1012</Words>
  <Characters>5567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2020-02-21T08:58:00Z</dcterms:created>
  <dcterms:modified xsi:type="dcterms:W3CDTF">2020-02-21T14:14:00Z</dcterms:modified>
</cp:coreProperties>
</file>