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D66E9" w14:textId="77777777" w:rsidR="00C440F9" w:rsidRDefault="00C440F9">
      <w:r w:rsidRPr="005E6C81">
        <w:rPr>
          <w:rFonts w:cs="Times New Roman"/>
          <w:noProof/>
          <w:lang w:eastAsia="fr-FR"/>
        </w:rPr>
        <w:t xml:space="preserve">Les </w:t>
      </w:r>
      <w:r w:rsidRPr="005E6C81">
        <w:rPr>
          <w:rFonts w:cs="Times New Roman"/>
          <w:i/>
          <w:noProof/>
          <w:lang w:eastAsia="fr-FR"/>
        </w:rPr>
        <w:t xml:space="preserve">zafan </w:t>
      </w:r>
      <w:r>
        <w:rPr>
          <w:rFonts w:cs="Times New Roman"/>
          <w:noProof/>
          <w:lang w:eastAsia="fr-FR"/>
        </w:rPr>
        <w:t xml:space="preserve">dans le Tanglü shuyi, définis </w:t>
      </w:r>
      <w:r w:rsidRPr="005E6C81">
        <w:rPr>
          <w:rFonts w:cs="Times New Roman"/>
          <w:noProof/>
          <w:lang w:eastAsia="fr-FR"/>
        </w:rPr>
        <w:t>à l’article sur la destitution (</w:t>
      </w:r>
      <w:r w:rsidRPr="005E6C81">
        <w:rPr>
          <w:rFonts w:cs="Times New Roman"/>
          <w:i/>
          <w:noProof/>
          <w:lang w:eastAsia="fr-FR"/>
        </w:rPr>
        <w:t>disenrolment</w:t>
      </w:r>
      <w:r w:rsidRPr="005E6C81">
        <w:rPr>
          <w:rFonts w:cs="Times New Roman"/>
          <w:noProof/>
          <w:lang w:eastAsia="fr-FR"/>
        </w:rPr>
        <w:t xml:space="preserve"> Johnson  </w:t>
      </w:r>
      <w:r w:rsidRPr="005E6C81">
        <w:rPr>
          <w:rFonts w:cs="Times New Roman" w:hint="eastAsia"/>
          <w:noProof/>
        </w:rPr>
        <w:t>除名</w:t>
      </w:r>
      <w:r w:rsidRPr="005E6C81">
        <w:rPr>
          <w:rFonts w:cs="Times New Roman"/>
          <w:noProof/>
        </w:rPr>
        <w:t> » (</w:t>
      </w:r>
      <w:r w:rsidRPr="005E6C81">
        <w:rPr>
          <w:rFonts w:cs="Times New Roman" w:hint="eastAsia"/>
          <w:noProof/>
        </w:rPr>
        <w:t>名例律，</w:t>
      </w:r>
      <w:r w:rsidRPr="005E6C81">
        <w:rPr>
          <w:rFonts w:cs="Times New Roman"/>
          <w:noProof/>
        </w:rPr>
        <w:t>art. 18 du code des Tang</w:t>
      </w:r>
      <w:r>
        <w:t>)</w:t>
      </w:r>
    </w:p>
    <w:p w14:paraId="2931E7D7" w14:textId="77777777" w:rsidR="00C440F9" w:rsidRDefault="00C440F9"/>
    <w:p w14:paraId="7A97EBDC" w14:textId="77777777" w:rsidR="00C440F9" w:rsidRDefault="00C440F9">
      <w:r w:rsidRPr="00C440F9">
        <w:drawing>
          <wp:inline distT="0" distB="0" distL="0" distR="0" wp14:anchorId="7EB39E0A" wp14:editId="4BC2E65C">
            <wp:extent cx="3849956" cy="5730240"/>
            <wp:effectExtent l="0" t="0" r="1143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91" cy="573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03F13" w14:textId="77777777" w:rsidR="00700937" w:rsidRDefault="00C440F9">
      <w:r w:rsidRPr="00C440F9">
        <w:lastRenderedPageBreak/>
        <w:drawing>
          <wp:inline distT="0" distB="0" distL="0" distR="0" wp14:anchorId="0F0C33A9" wp14:editId="6226A4DF">
            <wp:extent cx="2357556" cy="617601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62" cy="618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81F7" w14:textId="77777777" w:rsidR="004E3069" w:rsidRDefault="004E3069"/>
    <w:p w14:paraId="5C468DD6" w14:textId="77777777" w:rsidR="004E3069" w:rsidRPr="005E6C81" w:rsidRDefault="004E3069" w:rsidP="004E3069">
      <w:pPr>
        <w:widowControl w:val="0"/>
        <w:tabs>
          <w:tab w:val="left" w:pos="13467"/>
          <w:tab w:val="left" w:pos="13608"/>
          <w:tab w:val="left" w:pos="14034"/>
          <w:tab w:val="left" w:pos="16018"/>
        </w:tabs>
        <w:autoSpaceDE w:val="0"/>
        <w:autoSpaceDN w:val="0"/>
        <w:adjustRightInd w:val="0"/>
        <w:spacing w:after="0"/>
        <w:ind w:left="111" w:right="1701"/>
        <w:rPr>
          <w:rFonts w:cs="Times New Roman"/>
        </w:rPr>
      </w:pPr>
      <w:r w:rsidRPr="005E6C81">
        <w:rPr>
          <w:rFonts w:cs="Times New Roman"/>
          <w:lang w:eastAsia="ja-JP"/>
        </w:rPr>
        <w:t>Le terme « infraction réduite » appa</w:t>
      </w:r>
      <w:r>
        <w:rPr>
          <w:rFonts w:cs="Times New Roman"/>
          <w:lang w:eastAsia="ja-JP"/>
        </w:rPr>
        <w:t xml:space="preserve">raît dans le code des Tang </w:t>
      </w:r>
      <w:r w:rsidRPr="005E6C81">
        <w:rPr>
          <w:rFonts w:cs="Times New Roman"/>
          <w:lang w:eastAsia="ja-JP"/>
        </w:rPr>
        <w:t xml:space="preserve">lorsqu’est envisagé le cas des fonctionnaires criminels ; l’article 17 a </w:t>
      </w:r>
      <w:r>
        <w:rPr>
          <w:rFonts w:cs="Times New Roman"/>
          <w:lang w:eastAsia="ja-JP"/>
        </w:rPr>
        <w:t xml:space="preserve">précédemment </w:t>
      </w:r>
      <w:r w:rsidRPr="005E6C81">
        <w:rPr>
          <w:rFonts w:cs="Times New Roman"/>
          <w:lang w:eastAsia="ja-JP"/>
        </w:rPr>
        <w:t xml:space="preserve">envisagé le cas de ceux qui sont condamnés à une peine de servitude pénale pour une faute privée ou publique sont autorisés à s’en acquitter en restant en poste  17.a  </w:t>
      </w:r>
      <w:r w:rsidRPr="005E6C81">
        <w:rPr>
          <w:rFonts w:cs="Times New Roman" w:hint="eastAsia"/>
        </w:rPr>
        <w:t>諸犯私罪，以官當徒者</w:t>
      </w:r>
      <w:r w:rsidRPr="005E6C81">
        <w:rPr>
          <w:rFonts w:cs="Times New Roman" w:hint="eastAsia"/>
        </w:rPr>
        <w:t> </w:t>
      </w:r>
      <w:r w:rsidRPr="005E6C81">
        <w:rPr>
          <w:rFonts w:cs="Times New Roman"/>
        </w:rPr>
        <w:t xml:space="preserve">; 17.b. </w:t>
      </w:r>
      <w:r w:rsidRPr="005E6C81">
        <w:rPr>
          <w:rFonts w:cs="Times New Roman" w:hint="eastAsia"/>
        </w:rPr>
        <w:t>諸犯公罪者，各加一年當</w:t>
      </w:r>
    </w:p>
    <w:p w14:paraId="19BC31EC" w14:textId="77777777" w:rsidR="004E3069" w:rsidRPr="005E6C81" w:rsidRDefault="004E3069" w:rsidP="004E3069">
      <w:pPr>
        <w:widowControl w:val="0"/>
        <w:tabs>
          <w:tab w:val="left" w:pos="13467"/>
          <w:tab w:val="left" w:pos="13608"/>
          <w:tab w:val="left" w:pos="14034"/>
          <w:tab w:val="left" w:pos="16018"/>
        </w:tabs>
        <w:autoSpaceDE w:val="0"/>
        <w:autoSpaceDN w:val="0"/>
        <w:adjustRightInd w:val="0"/>
        <w:spacing w:after="0"/>
        <w:ind w:left="111" w:right="1701"/>
        <w:rPr>
          <w:rFonts w:cs="Times New Roman"/>
        </w:rPr>
      </w:pPr>
      <w:r w:rsidRPr="004E3069">
        <w:rPr>
          <w:rFonts w:cs="Times New Roman"/>
          <w:b/>
        </w:rPr>
        <w:t>L’article 18</w:t>
      </w:r>
      <w:r w:rsidRPr="005E6C81">
        <w:rPr>
          <w:rFonts w:cs="Times New Roman"/>
        </w:rPr>
        <w:t xml:space="preserve"> porte sur ceux qui sont incriminés par affinité, ou « solidarité pénale » </w:t>
      </w:r>
      <w:r w:rsidRPr="005E6C81">
        <w:rPr>
          <w:rFonts w:cs="Times New Roman" w:hint="eastAsia"/>
        </w:rPr>
        <w:t>緣坐</w:t>
      </w:r>
      <w:r w:rsidRPr="005E6C81">
        <w:rPr>
          <w:rFonts w:cs="Times New Roman"/>
        </w:rPr>
        <w:t>, pour l’une des Dix Infamies, ou pour homicide intentionnel (meurtre), ou grande rébellion (</w:t>
      </w:r>
      <w:r w:rsidRPr="005E6C81">
        <w:rPr>
          <w:rFonts w:cs="Times New Roman" w:hint="eastAsia"/>
        </w:rPr>
        <w:t>諸犯十惡</w:t>
      </w:r>
      <w:r w:rsidRPr="005E6C81">
        <w:rPr>
          <w:rFonts w:cs="Times New Roman" w:hint="eastAsia"/>
          <w:lang w:eastAsia="ja-JP"/>
        </w:rPr>
        <w:t>、</w:t>
      </w:r>
      <w:r w:rsidRPr="005E6C81">
        <w:rPr>
          <w:rFonts w:cs="Times New Roman" w:hint="eastAsia"/>
        </w:rPr>
        <w:t>故殺人</w:t>
      </w:r>
      <w:r w:rsidRPr="005E6C81">
        <w:rPr>
          <w:rFonts w:cs="Times New Roman" w:hint="eastAsia"/>
          <w:lang w:eastAsia="ja-JP"/>
        </w:rPr>
        <w:t>、</w:t>
      </w:r>
      <w:r w:rsidRPr="005E6C81">
        <w:rPr>
          <w:rFonts w:cs="Times New Roman" w:hint="eastAsia"/>
        </w:rPr>
        <w:t>反逆緣坐</w:t>
      </w:r>
      <w:r w:rsidRPr="005E6C81">
        <w:rPr>
          <w:rFonts w:cs="Times New Roman"/>
        </w:rPr>
        <w:t>), et c’est dans ce cadre qu’est évoquée la m</w:t>
      </w:r>
      <w:r>
        <w:rPr>
          <w:rFonts w:cs="Times New Roman"/>
        </w:rPr>
        <w:t>esure de «</w:t>
      </w:r>
      <w:r>
        <w:rPr>
          <w:rFonts w:cs="Times New Roman"/>
          <w:i/>
        </w:rPr>
        <w:t> di</w:t>
      </w:r>
      <w:r w:rsidRPr="004E3069">
        <w:rPr>
          <w:rFonts w:cs="Times New Roman"/>
          <w:i/>
        </w:rPr>
        <w:t>senro</w:t>
      </w:r>
      <w:r>
        <w:rPr>
          <w:rFonts w:cs="Times New Roman"/>
          <w:i/>
        </w:rPr>
        <w:t>l</w:t>
      </w:r>
      <w:r w:rsidRPr="004E3069">
        <w:rPr>
          <w:rFonts w:cs="Times New Roman"/>
          <w:i/>
        </w:rPr>
        <w:t>ment </w:t>
      </w:r>
      <w:r w:rsidRPr="005E6C81">
        <w:rPr>
          <w:rFonts w:cs="Times New Roman"/>
        </w:rPr>
        <w:t>» (rayage des cadres ?) et la notion d ‘ « infraction réduite ».</w:t>
      </w:r>
    </w:p>
    <w:p w14:paraId="63D3E2C7" w14:textId="77777777" w:rsidR="004E3069" w:rsidRPr="005E6C81" w:rsidRDefault="004E3069" w:rsidP="004E3069">
      <w:pPr>
        <w:widowControl w:val="0"/>
        <w:tabs>
          <w:tab w:val="left" w:pos="13467"/>
          <w:tab w:val="left" w:pos="13608"/>
          <w:tab w:val="left" w:pos="14034"/>
          <w:tab w:val="left" w:pos="16018"/>
        </w:tabs>
        <w:autoSpaceDE w:val="0"/>
        <w:autoSpaceDN w:val="0"/>
        <w:adjustRightInd w:val="0"/>
        <w:spacing w:after="0"/>
        <w:ind w:left="111" w:right="1701"/>
        <w:rPr>
          <w:rFonts w:cs="Times New Roman"/>
        </w:rPr>
      </w:pPr>
    </w:p>
    <w:p w14:paraId="52AFE766" w14:textId="77777777" w:rsidR="004E3069" w:rsidRPr="004E3069" w:rsidRDefault="004E3069" w:rsidP="004E3069">
      <w:pPr>
        <w:widowControl w:val="0"/>
        <w:tabs>
          <w:tab w:val="left" w:pos="13467"/>
          <w:tab w:val="left" w:pos="13608"/>
          <w:tab w:val="left" w:pos="14034"/>
          <w:tab w:val="left" w:pos="16018"/>
        </w:tabs>
        <w:autoSpaceDE w:val="0"/>
        <w:autoSpaceDN w:val="0"/>
        <w:adjustRightInd w:val="0"/>
        <w:spacing w:after="0"/>
        <w:ind w:left="111" w:right="1701"/>
        <w:rPr>
          <w:rFonts w:cs="Times New Roman"/>
          <w:b/>
        </w:rPr>
      </w:pPr>
      <w:r w:rsidRPr="004E3069">
        <w:rPr>
          <w:rFonts w:cs="Times New Roman"/>
          <w:b/>
        </w:rPr>
        <w:t xml:space="preserve">Traduction sommaire  </w:t>
      </w:r>
    </w:p>
    <w:p w14:paraId="414D1E9A" w14:textId="77777777" w:rsidR="004E3069" w:rsidRPr="005E6C81" w:rsidRDefault="004E3069" w:rsidP="004E3069">
      <w:pPr>
        <w:widowControl w:val="0"/>
        <w:tabs>
          <w:tab w:val="left" w:pos="13467"/>
          <w:tab w:val="left" w:pos="13608"/>
          <w:tab w:val="left" w:pos="14034"/>
          <w:tab w:val="left" w:pos="16018"/>
        </w:tabs>
        <w:autoSpaceDE w:val="0"/>
        <w:autoSpaceDN w:val="0"/>
        <w:adjustRightInd w:val="0"/>
        <w:spacing w:after="0"/>
        <w:ind w:left="111" w:right="1701"/>
        <w:rPr>
          <w:rFonts w:cs="Times New Roman"/>
        </w:rPr>
      </w:pPr>
      <w:r w:rsidRPr="005E6C81">
        <w:rPr>
          <w:rFonts w:cs="Times New Roman"/>
        </w:rPr>
        <w:t>18.3 (4</w:t>
      </w:r>
      <w:r w:rsidRPr="005E6C81">
        <w:rPr>
          <w:rFonts w:cs="Times New Roman"/>
          <w:vertAlign w:val="superscript"/>
        </w:rPr>
        <w:t>e</w:t>
      </w:r>
      <w:r w:rsidRPr="005E6C81">
        <w:rPr>
          <w:rFonts w:cs="Times New Roman"/>
        </w:rPr>
        <w:t xml:space="preserve"> colonne) : ceux qui sont condamnés  à mort pour infraction réduite, s’ils meurent lors de leur détention, ou si on leur épargne la mort en les envoyant en déportation, ou ceux qui s’y sont dérobés en s’enfuyant : tous sont rayés des rôles (de fonctionnaire)</w:t>
      </w:r>
    </w:p>
    <w:p w14:paraId="469BDF06" w14:textId="77777777" w:rsidR="004E3069" w:rsidRPr="005E6C81" w:rsidRDefault="004E3069" w:rsidP="004E3069">
      <w:pPr>
        <w:widowControl w:val="0"/>
        <w:tabs>
          <w:tab w:val="left" w:pos="13467"/>
          <w:tab w:val="left" w:pos="13608"/>
          <w:tab w:val="left" w:pos="14034"/>
          <w:tab w:val="left" w:pos="16018"/>
        </w:tabs>
        <w:autoSpaceDE w:val="0"/>
        <w:autoSpaceDN w:val="0"/>
        <w:adjustRightInd w:val="0"/>
        <w:spacing w:after="0"/>
        <w:ind w:left="111" w:right="1701"/>
        <w:rPr>
          <w:rFonts w:cs="Times New Roman"/>
        </w:rPr>
      </w:pPr>
    </w:p>
    <w:p w14:paraId="64C7C44A" w14:textId="77777777" w:rsidR="004E3069" w:rsidRPr="005E6C81" w:rsidRDefault="004E3069" w:rsidP="004E3069">
      <w:pPr>
        <w:widowControl w:val="0"/>
        <w:tabs>
          <w:tab w:val="left" w:pos="13467"/>
          <w:tab w:val="left" w:pos="13608"/>
          <w:tab w:val="left" w:pos="14034"/>
          <w:tab w:val="left" w:pos="16018"/>
        </w:tabs>
        <w:autoSpaceDE w:val="0"/>
        <w:autoSpaceDN w:val="0"/>
        <w:adjustRightInd w:val="0"/>
        <w:spacing w:after="0"/>
        <w:ind w:left="111" w:right="1701"/>
        <w:rPr>
          <w:rFonts w:cs="Times New Roman"/>
          <w:lang w:eastAsia="ja-JP"/>
        </w:rPr>
      </w:pPr>
      <w:bookmarkStart w:id="0" w:name="_GoBack"/>
      <w:r w:rsidRPr="00C61EB7">
        <w:rPr>
          <w:rFonts w:cs="Times New Roman"/>
          <w:b/>
        </w:rPr>
        <w:t>Commentaire </w:t>
      </w:r>
      <w:bookmarkEnd w:id="0"/>
      <w:r w:rsidRPr="005E6C81">
        <w:rPr>
          <w:rFonts w:cs="Times New Roman"/>
        </w:rPr>
        <w:t>: ces « peines de mort pour infraction réduite » sont tout ce qui n’entre pas dans la liste précédemment citée, à savoi</w:t>
      </w:r>
      <w:r>
        <w:rPr>
          <w:rFonts w:cs="Times New Roman"/>
        </w:rPr>
        <w:t>r toutes les peines de mort pour</w:t>
      </w:r>
      <w:r w:rsidRPr="005E6C81">
        <w:rPr>
          <w:rFonts w:cs="Times New Roman"/>
        </w:rPr>
        <w:t xml:space="preserve"> incrimination par solidarité pénale pour l’une des Dix infamies ou pour meurtre ou pour révolte, dérèglement sexuel des « surveillants et gardiens », le vol et la violence, </w:t>
      </w:r>
      <w:r w:rsidRPr="005E6C81">
        <w:rPr>
          <w:rFonts w:cs="Times New Roman"/>
          <w:lang w:eastAsia="ja-JP"/>
        </w:rPr>
        <w:t>corruption passive avec torsion de la loi. (etc. paraphrase du texte de loi)</w:t>
      </w:r>
    </w:p>
    <w:p w14:paraId="5EC2464A" w14:textId="77777777" w:rsidR="004E3069" w:rsidRPr="005E6C81" w:rsidRDefault="004E3069" w:rsidP="004E3069">
      <w:pPr>
        <w:widowControl w:val="0"/>
        <w:tabs>
          <w:tab w:val="left" w:pos="13467"/>
          <w:tab w:val="left" w:pos="13608"/>
          <w:tab w:val="left" w:pos="14034"/>
          <w:tab w:val="left" w:pos="16018"/>
        </w:tabs>
        <w:autoSpaceDE w:val="0"/>
        <w:autoSpaceDN w:val="0"/>
        <w:adjustRightInd w:val="0"/>
        <w:spacing w:after="0"/>
        <w:ind w:left="111" w:right="1701"/>
        <w:rPr>
          <w:rFonts w:cs="Times New Roman"/>
          <w:lang w:eastAsia="ja-JP"/>
        </w:rPr>
      </w:pPr>
    </w:p>
    <w:p w14:paraId="5E0F64F0" w14:textId="77777777" w:rsidR="004E3069" w:rsidRPr="005E6C81" w:rsidRDefault="004E3069" w:rsidP="004E3069">
      <w:pPr>
        <w:widowControl w:val="0"/>
        <w:tabs>
          <w:tab w:val="left" w:pos="13467"/>
          <w:tab w:val="left" w:pos="13608"/>
          <w:tab w:val="left" w:pos="14034"/>
          <w:tab w:val="left" w:pos="16018"/>
        </w:tabs>
        <w:autoSpaceDE w:val="0"/>
        <w:autoSpaceDN w:val="0"/>
        <w:adjustRightInd w:val="0"/>
        <w:spacing w:after="0"/>
        <w:ind w:left="111" w:right="1701"/>
        <w:rPr>
          <w:rFonts w:cs="Times New Roman"/>
          <w:lang w:eastAsia="ja-JP"/>
        </w:rPr>
      </w:pPr>
      <w:r w:rsidRPr="005E6C81">
        <w:rPr>
          <w:rFonts w:cs="Times New Roman"/>
          <w:lang w:eastAsia="ja-JP"/>
        </w:rPr>
        <w:t xml:space="preserve">18.4. L’abaissement de peine (littéralement : « on peut abaisser » ou « ceux qu’on peut dégrader » </w:t>
      </w:r>
      <w:r w:rsidRPr="005E6C81">
        <w:rPr>
          <w:rFonts w:cs="Times New Roman" w:hint="eastAsia"/>
        </w:rPr>
        <w:t>會降者</w:t>
      </w:r>
      <w:r w:rsidRPr="005E6C81">
        <w:rPr>
          <w:rFonts w:cs="Times New Roman" w:hint="eastAsia"/>
        </w:rPr>
        <w:t> </w:t>
      </w:r>
      <w:r w:rsidRPr="005E6C81">
        <w:rPr>
          <w:rFonts w:cs="Times New Roman"/>
        </w:rPr>
        <w:t>?)</w:t>
      </w:r>
      <w:r w:rsidRPr="005E6C81">
        <w:rPr>
          <w:rFonts w:cs="Times New Roman"/>
          <w:lang w:eastAsia="ja-JP"/>
        </w:rPr>
        <w:t>, on laisse [le fonctionnaire en poste pour s’acquitter] et on autorise le rachat [au tarif prévu] par la loi :</w:t>
      </w:r>
    </w:p>
    <w:p w14:paraId="0FA04626" w14:textId="77777777" w:rsidR="004E3069" w:rsidRPr="005E6C81" w:rsidRDefault="004E3069" w:rsidP="004E3069">
      <w:pPr>
        <w:widowControl w:val="0"/>
        <w:tabs>
          <w:tab w:val="left" w:pos="13467"/>
          <w:tab w:val="left" w:pos="13608"/>
          <w:tab w:val="left" w:pos="14034"/>
          <w:tab w:val="left" w:pos="16018"/>
        </w:tabs>
        <w:autoSpaceDE w:val="0"/>
        <w:autoSpaceDN w:val="0"/>
        <w:adjustRightInd w:val="0"/>
        <w:spacing w:after="0"/>
        <w:ind w:left="111" w:right="1701"/>
        <w:rPr>
          <w:rFonts w:cs="Times New Roman"/>
        </w:rPr>
      </w:pPr>
      <w:r w:rsidRPr="005E6C81">
        <w:rPr>
          <w:rFonts w:cs="Times New Roman"/>
          <w:lang w:eastAsia="ja-JP"/>
        </w:rPr>
        <w:t>Commentaire : pour les sentences de « peine de mort avec infraction réduite » ou d’une gravité moindre, avant d’envoyer un mémoire à l’empereur pour qu’il signe une réduction de peine</w:t>
      </w:r>
      <w:r>
        <w:rPr>
          <w:rFonts w:cs="Times New Roman"/>
          <w:lang w:eastAsia="ja-JP"/>
        </w:rPr>
        <w:t xml:space="preserve"> </w:t>
      </w:r>
      <w:r w:rsidRPr="005E6C81">
        <w:rPr>
          <w:rFonts w:cs="Times New Roman"/>
          <w:lang w:eastAsia="ja-JP"/>
        </w:rPr>
        <w:t xml:space="preserve">( ? Johnson, p. 124, «  a decrease  of sentence occurs before the sentence  has been memorialized and signed by the emperor »), s’il s’agit d’un fonctionnaire, on l’autorise à rester en poste pour s’acquitter [de sa peine], s’il a des arrières assurées (s’il est protégé, a « de l’ombre » </w:t>
      </w:r>
      <w:r w:rsidRPr="005E6C81">
        <w:rPr>
          <w:rFonts w:cs="Times New Roman" w:hint="eastAsia"/>
        </w:rPr>
        <w:t>蔭者</w:t>
      </w:r>
      <w:r w:rsidRPr="005E6C81">
        <w:rPr>
          <w:rFonts w:cs="Times New Roman"/>
        </w:rPr>
        <w:t>), il est autorisé à racheter sa peine au tarif prévu par la loi.</w:t>
      </w:r>
    </w:p>
    <w:p w14:paraId="12AFD60E" w14:textId="77777777" w:rsidR="004E3069" w:rsidRDefault="004E3069"/>
    <w:sectPr w:rsidR="004E3069" w:rsidSect="00C440F9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14CBB" w14:textId="77777777" w:rsidR="00C440F9" w:rsidRDefault="00C440F9" w:rsidP="00C440F9">
      <w:pPr>
        <w:spacing w:after="0"/>
      </w:pPr>
      <w:r>
        <w:separator/>
      </w:r>
    </w:p>
  </w:endnote>
  <w:endnote w:type="continuationSeparator" w:id="0">
    <w:p w14:paraId="772E0117" w14:textId="77777777" w:rsidR="00C440F9" w:rsidRDefault="00C440F9" w:rsidP="00C440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38AA" w14:textId="77777777" w:rsidR="00C440F9" w:rsidRDefault="00C440F9" w:rsidP="00B67E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1FA4ED" w14:textId="77777777" w:rsidR="00C440F9" w:rsidRDefault="00C440F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E6CBD" w14:textId="77777777" w:rsidR="00C440F9" w:rsidRDefault="00C440F9" w:rsidP="00B67E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61EB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56E3B8A" w14:textId="77777777" w:rsidR="00C440F9" w:rsidRDefault="00C440F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EDFA" w14:textId="77777777" w:rsidR="00C440F9" w:rsidRDefault="00C440F9" w:rsidP="00C440F9">
      <w:pPr>
        <w:spacing w:after="0"/>
      </w:pPr>
      <w:r>
        <w:separator/>
      </w:r>
    </w:p>
  </w:footnote>
  <w:footnote w:type="continuationSeparator" w:id="0">
    <w:p w14:paraId="37156735" w14:textId="77777777" w:rsidR="00C440F9" w:rsidRDefault="00C440F9" w:rsidP="00C440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F9"/>
    <w:rsid w:val="0000046E"/>
    <w:rsid w:val="000D457E"/>
    <w:rsid w:val="002114FD"/>
    <w:rsid w:val="00272562"/>
    <w:rsid w:val="004860F2"/>
    <w:rsid w:val="004E3069"/>
    <w:rsid w:val="00582BF3"/>
    <w:rsid w:val="005D0D75"/>
    <w:rsid w:val="00632FCC"/>
    <w:rsid w:val="00644A65"/>
    <w:rsid w:val="006B3498"/>
    <w:rsid w:val="00700937"/>
    <w:rsid w:val="007D64EC"/>
    <w:rsid w:val="008930D1"/>
    <w:rsid w:val="008F0DE0"/>
    <w:rsid w:val="009568F0"/>
    <w:rsid w:val="00A5699A"/>
    <w:rsid w:val="00A704C7"/>
    <w:rsid w:val="00AB5133"/>
    <w:rsid w:val="00B136F4"/>
    <w:rsid w:val="00C04759"/>
    <w:rsid w:val="00C352BC"/>
    <w:rsid w:val="00C440F9"/>
    <w:rsid w:val="00C45776"/>
    <w:rsid w:val="00C61EB7"/>
    <w:rsid w:val="00C62D8B"/>
    <w:rsid w:val="00C90339"/>
    <w:rsid w:val="00D95D2B"/>
    <w:rsid w:val="00E13DE8"/>
    <w:rsid w:val="00EF223A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28A5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rFonts w:ascii="Times New Roman" w:hAnsi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0F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F9"/>
    <w:rPr>
      <w:rFonts w:ascii="Lucida Grande" w:hAnsi="Lucida Grande" w:cs="Lucida Grande"/>
      <w:sz w:val="18"/>
      <w:szCs w:val="18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C440F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440F9"/>
    <w:rPr>
      <w:rFonts w:ascii="Times New Roman" w:hAnsi="Times New Roman"/>
      <w:sz w:val="24"/>
      <w:szCs w:val="24"/>
      <w:lang w:eastAsia="zh-TW"/>
    </w:rPr>
  </w:style>
  <w:style w:type="character" w:styleId="Numrodepage">
    <w:name w:val="page number"/>
    <w:basedOn w:val="Policepardfaut"/>
    <w:uiPriority w:val="99"/>
    <w:semiHidden/>
    <w:unhideWhenUsed/>
    <w:rsid w:val="00C440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rFonts w:ascii="Times New Roman" w:hAnsi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0F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F9"/>
    <w:rPr>
      <w:rFonts w:ascii="Lucida Grande" w:hAnsi="Lucida Grande" w:cs="Lucida Grande"/>
      <w:sz w:val="18"/>
      <w:szCs w:val="18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C440F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440F9"/>
    <w:rPr>
      <w:rFonts w:ascii="Times New Roman" w:hAnsi="Times New Roman"/>
      <w:sz w:val="24"/>
      <w:szCs w:val="24"/>
      <w:lang w:eastAsia="zh-TW"/>
    </w:rPr>
  </w:style>
  <w:style w:type="character" w:styleId="Numrodepage">
    <w:name w:val="page number"/>
    <w:basedOn w:val="Policepardfaut"/>
    <w:uiPriority w:val="99"/>
    <w:semiHidden/>
    <w:unhideWhenUsed/>
    <w:rsid w:val="00C4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350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dcterms:created xsi:type="dcterms:W3CDTF">2013-02-25T15:58:00Z</dcterms:created>
  <dcterms:modified xsi:type="dcterms:W3CDTF">2013-02-25T16:06:00Z</dcterms:modified>
</cp:coreProperties>
</file>