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3E674" w14:textId="70E072FA" w:rsidR="005752CC" w:rsidRPr="00453AA8" w:rsidRDefault="005752CC" w:rsidP="00453AA8">
      <w:pPr>
        <w:jc w:val="both"/>
        <w:rPr>
          <w:b/>
          <w:lang w:val="fr-FR"/>
        </w:rPr>
      </w:pPr>
      <w:bookmarkStart w:id="0" w:name="_GoBack"/>
      <w:bookmarkEnd w:id="0"/>
      <w:r w:rsidRPr="00453AA8">
        <w:rPr>
          <w:b/>
          <w:lang w:val="fr-FR"/>
        </w:rPr>
        <w:t>律</w:t>
      </w:r>
      <w:r w:rsidRPr="00453AA8">
        <w:rPr>
          <w:b/>
          <w:lang w:val="fr-FR"/>
        </w:rPr>
        <w:t>/</w:t>
      </w:r>
      <w:proofErr w:type="spellStart"/>
      <w:r w:rsidRPr="00453AA8">
        <w:rPr>
          <w:b/>
          <w:lang w:val="fr-FR"/>
        </w:rPr>
        <w:t>lü</w:t>
      </w:r>
      <w:proofErr w:type="spellEnd"/>
      <w:r w:rsidRPr="00453AA8">
        <w:rPr>
          <w:b/>
          <w:lang w:val="fr-FR"/>
        </w:rPr>
        <w:t xml:space="preserve"> 45 | </w:t>
      </w:r>
      <w:proofErr w:type="spellStart"/>
      <w:r w:rsidRPr="00453AA8">
        <w:rPr>
          <w:b/>
          <w:lang w:val="fr-FR"/>
        </w:rPr>
        <w:t>Tuliu</w:t>
      </w:r>
      <w:proofErr w:type="spellEnd"/>
      <w:r w:rsidRPr="00453AA8">
        <w:rPr>
          <w:b/>
          <w:lang w:val="fr-FR"/>
        </w:rPr>
        <w:t xml:space="preserve"> </w:t>
      </w:r>
      <w:proofErr w:type="spellStart"/>
      <w:r w:rsidRPr="00453AA8">
        <w:rPr>
          <w:b/>
          <w:lang w:val="fr-FR"/>
        </w:rPr>
        <w:t>qianxi</w:t>
      </w:r>
      <w:proofErr w:type="spellEnd"/>
      <w:r w:rsidRPr="00453AA8">
        <w:rPr>
          <w:b/>
          <w:lang w:val="fr-FR"/>
        </w:rPr>
        <w:t xml:space="preserve"> </w:t>
      </w:r>
      <w:proofErr w:type="spellStart"/>
      <w:r w:rsidRPr="00453AA8">
        <w:rPr>
          <w:b/>
          <w:lang w:val="fr-FR"/>
        </w:rPr>
        <w:t>difang</w:t>
      </w:r>
      <w:proofErr w:type="spellEnd"/>
      <w:r w:rsidRPr="00453AA8">
        <w:rPr>
          <w:b/>
          <w:lang w:val="fr-FR"/>
        </w:rPr>
        <w:t xml:space="preserve"> </w:t>
      </w:r>
      <w:proofErr w:type="spellStart"/>
      <w:r w:rsidRPr="00453AA8">
        <w:rPr>
          <w:b/>
          <w:lang w:val="fr-FR"/>
        </w:rPr>
        <w:t>徒流遷徙地方</w:t>
      </w:r>
      <w:proofErr w:type="spellEnd"/>
      <w:r w:rsidR="00D0799D">
        <w:rPr>
          <w:b/>
          <w:lang w:val="fr-FR"/>
        </w:rPr>
        <w:t xml:space="preserve"> </w:t>
      </w:r>
    </w:p>
    <w:p w14:paraId="12ABEF1F" w14:textId="77777777" w:rsidR="00D0799D" w:rsidRDefault="00D0799D" w:rsidP="00D0799D">
      <w:pPr>
        <w:jc w:val="both"/>
        <w:rPr>
          <w:rFonts w:ascii="Heiti TC Light" w:eastAsia="Heiti TC Light" w:hAnsi="Songti TC Regular"/>
          <w:lang w:val="fr-FR"/>
        </w:rPr>
      </w:pPr>
    </w:p>
    <w:p w14:paraId="6901284A" w14:textId="77777777" w:rsidR="00D0799D" w:rsidRDefault="00D0799D" w:rsidP="00D0799D">
      <w:pPr>
        <w:jc w:val="both"/>
        <w:rPr>
          <w:rFonts w:ascii="Heiti TC Light" w:eastAsia="Heiti TC Light" w:hAnsi="Songti TC Regular"/>
          <w:lang w:val="fr-FR"/>
        </w:rPr>
      </w:pPr>
    </w:p>
    <w:p w14:paraId="651CD225" w14:textId="77777777" w:rsidR="005752CC" w:rsidRPr="00D0799D" w:rsidRDefault="005752CC" w:rsidP="00D0799D">
      <w:pPr>
        <w:jc w:val="both"/>
        <w:rPr>
          <w:rFonts w:ascii="Heiti TC Light" w:eastAsia="Heiti TC Light" w:hAnsi="Songti TC Regular"/>
          <w:lang w:val="fr-FR"/>
        </w:rPr>
      </w:pPr>
      <w:r w:rsidRPr="00D0799D">
        <w:rPr>
          <w:rFonts w:ascii="Heiti TC Light" w:eastAsia="Heiti TC Light" w:hAnsi="Songti TC Regular"/>
          <w:lang w:val="fr-FR"/>
        </w:rPr>
        <w:t>凡徒役，各照應徒年限，并以到配所之日為始，限滿釋放。流犯，照依本省地方，計所犯應流道里，定發各處荒蕪及瀕海州縣安置。應遷徙者，遷離</w:t>
      </w:r>
      <w:r w:rsidR="00E943ED" w:rsidRPr="00D0799D">
        <w:rPr>
          <w:rFonts w:ascii="Heiti TC Light" w:eastAsia="Heiti TC Light" w:hAnsi="Songti TC Regular"/>
          <w:lang w:val="fr-FR"/>
        </w:rPr>
        <w:t>鄉</w:t>
      </w:r>
      <w:r w:rsidRPr="00D0799D">
        <w:rPr>
          <w:rFonts w:ascii="Heiti TC Light" w:eastAsia="Heiti TC Light" w:hAnsi="Songti TC Regular"/>
          <w:lang w:val="fr-FR"/>
        </w:rPr>
        <w:t>土一千里外。</w:t>
      </w:r>
    </w:p>
    <w:p w14:paraId="1DB6C5C3" w14:textId="77777777" w:rsidR="005752CC" w:rsidRPr="00D0799D" w:rsidRDefault="005752CC" w:rsidP="00453AA8">
      <w:pPr>
        <w:pStyle w:val="NormalWeb"/>
        <w:jc w:val="both"/>
        <w:rPr>
          <w:rFonts w:ascii="Heiti TC Light" w:eastAsia="Heiti TC Light" w:hAnsi="Songti TC Regular" w:cstheme="minorBidi"/>
          <w:sz w:val="24"/>
          <w:szCs w:val="24"/>
        </w:rPr>
      </w:pPr>
      <w:proofErr w:type="spellStart"/>
      <w:r w:rsidRPr="00D0799D">
        <w:rPr>
          <w:rFonts w:ascii="Heiti TC Light" w:eastAsia="Heiti TC Light" w:hAnsi="Songti TC Regular" w:cstheme="minorBidi"/>
          <w:sz w:val="24"/>
          <w:szCs w:val="24"/>
        </w:rPr>
        <w:t>徒五等：發本省驛遞</w:t>
      </w:r>
      <w:proofErr w:type="spellEnd"/>
      <w:r w:rsidRPr="00D0799D">
        <w:rPr>
          <w:rFonts w:ascii="Heiti TC Light" w:eastAsia="Heiti TC Light" w:hAnsi="Songti TC Regular" w:cstheme="minorBidi"/>
          <w:sz w:val="24"/>
          <w:szCs w:val="24"/>
        </w:rPr>
        <w:t>。</w:t>
      </w:r>
    </w:p>
    <w:p w14:paraId="07CD8809" w14:textId="77777777" w:rsidR="005752CC" w:rsidRPr="00D0799D" w:rsidRDefault="005752CC" w:rsidP="00453AA8">
      <w:pPr>
        <w:pStyle w:val="NormalWeb"/>
        <w:jc w:val="both"/>
        <w:rPr>
          <w:rFonts w:ascii="Heiti TC Light" w:eastAsia="Heiti TC Light" w:hAnsi="Songti TC Regular" w:cstheme="minorBidi"/>
          <w:sz w:val="24"/>
          <w:szCs w:val="24"/>
        </w:rPr>
      </w:pPr>
      <w:proofErr w:type="spellStart"/>
      <w:r w:rsidRPr="00D0799D">
        <w:rPr>
          <w:rFonts w:ascii="Heiti TC Light" w:eastAsia="Heiti TC Light" w:hAnsi="Songti TC Regular" w:cstheme="minorBidi"/>
          <w:sz w:val="24"/>
          <w:szCs w:val="24"/>
        </w:rPr>
        <w:t>流三等</w:t>
      </w:r>
      <w:proofErr w:type="spellEnd"/>
      <w:r w:rsidRPr="00D0799D">
        <w:rPr>
          <w:rFonts w:ascii="Heiti TC Light" w:eastAsia="Heiti TC Light" w:hAnsi="Songti TC Regular" w:cstheme="minorBidi"/>
          <w:sz w:val="24"/>
          <w:szCs w:val="24"/>
        </w:rPr>
        <w:t>：</w:t>
      </w:r>
    </w:p>
    <w:p w14:paraId="72E86B9A" w14:textId="77777777" w:rsidR="00AD4087" w:rsidRDefault="00165E25" w:rsidP="0051052C">
      <w:pPr>
        <w:jc w:val="both"/>
        <w:rPr>
          <w:lang w:val="fr-FR"/>
        </w:rPr>
      </w:pPr>
      <w:r>
        <w:rPr>
          <w:lang w:val="fr-FR"/>
        </w:rPr>
        <w:t>Toute</w:t>
      </w:r>
      <w:r w:rsidR="009E50E1">
        <w:rPr>
          <w:lang w:val="fr-FR"/>
        </w:rPr>
        <w:t xml:space="preserve"> </w:t>
      </w:r>
      <w:r>
        <w:rPr>
          <w:lang w:val="fr-FR"/>
        </w:rPr>
        <w:t>peine</w:t>
      </w:r>
      <w:r w:rsidR="005752CC" w:rsidRPr="005752CC">
        <w:rPr>
          <w:lang w:val="fr-FR"/>
        </w:rPr>
        <w:t xml:space="preserve"> de servitude</w:t>
      </w:r>
      <w:r w:rsidR="005752CC">
        <w:rPr>
          <w:lang w:val="fr-FR"/>
        </w:rPr>
        <w:t xml:space="preserve"> est accomplie conformément au </w:t>
      </w:r>
      <w:r>
        <w:rPr>
          <w:lang w:val="fr-FR"/>
        </w:rPr>
        <w:t>quantum d’années prononcé</w:t>
      </w:r>
      <w:r w:rsidR="00055EFE">
        <w:rPr>
          <w:lang w:val="fr-FR"/>
        </w:rPr>
        <w:t xml:space="preserve"> à partir du jour d’arrivée sur le lieu de servitude</w:t>
      </w:r>
      <w:r>
        <w:rPr>
          <w:lang w:val="fr-FR"/>
        </w:rPr>
        <w:t xml:space="preserve"> et la libération intervient une fois</w:t>
      </w:r>
      <w:r w:rsidR="003C2F2C">
        <w:rPr>
          <w:rFonts w:hint="eastAsia"/>
          <w:lang w:val="fr-FR"/>
        </w:rPr>
        <w:t xml:space="preserve"> la </w:t>
      </w:r>
      <w:r w:rsidR="003C2F2C">
        <w:rPr>
          <w:lang w:val="fr-FR"/>
        </w:rPr>
        <w:t xml:space="preserve">limite de temps atteinte (à l’expiration de la durée). </w:t>
      </w:r>
      <w:r w:rsidR="003B18AD">
        <w:rPr>
          <w:lang w:val="fr-FR"/>
        </w:rPr>
        <w:t>Pour les peines d’exil</w:t>
      </w:r>
      <w:r w:rsidR="00FD7CE6">
        <w:rPr>
          <w:lang w:val="fr-FR"/>
        </w:rPr>
        <w:t xml:space="preserve"> simple</w:t>
      </w:r>
      <w:r w:rsidR="003B18AD">
        <w:rPr>
          <w:lang w:val="fr-FR"/>
        </w:rPr>
        <w:t xml:space="preserve">, </w:t>
      </w:r>
      <w:r w:rsidR="003D1F45">
        <w:rPr>
          <w:lang w:val="fr-FR"/>
        </w:rPr>
        <w:t>d’après la localis</w:t>
      </w:r>
      <w:r w:rsidR="003B18AD">
        <w:rPr>
          <w:lang w:val="fr-FR"/>
        </w:rPr>
        <w:t xml:space="preserve">ation de la province d’origine et la distance à laquelle les faits sont condamnés, on détermine </w:t>
      </w:r>
      <w:r w:rsidR="00E943ED">
        <w:rPr>
          <w:lang w:val="fr-FR"/>
        </w:rPr>
        <w:t>les lieux des sous-préfectures et sous-préfectures sous contrôle direct</w:t>
      </w:r>
      <w:r w:rsidR="003B18AD">
        <w:rPr>
          <w:lang w:val="fr-FR"/>
        </w:rPr>
        <w:t xml:space="preserve"> </w:t>
      </w:r>
      <w:r w:rsidR="00E943ED">
        <w:rPr>
          <w:lang w:val="fr-FR"/>
        </w:rPr>
        <w:t>des régions arides et incultes ou longeant la mer dans lesquels les criminels sont réinstallés. Pour l</w:t>
      </w:r>
      <w:r w:rsidR="00C92C2C">
        <w:rPr>
          <w:lang w:val="fr-FR"/>
        </w:rPr>
        <w:t xml:space="preserve">es peines de déplacement, on quitte son village à une distance d’au moins 1000 </w:t>
      </w:r>
      <w:r w:rsidR="00C92C2C" w:rsidRPr="00C92C2C">
        <w:rPr>
          <w:i/>
          <w:lang w:val="fr-FR"/>
        </w:rPr>
        <w:t>li</w:t>
      </w:r>
      <w:r w:rsidR="00C92C2C">
        <w:rPr>
          <w:lang w:val="fr-FR"/>
        </w:rPr>
        <w:t xml:space="preserve">. </w:t>
      </w:r>
      <w:r w:rsidR="002608A6">
        <w:rPr>
          <w:lang w:val="fr-FR"/>
        </w:rPr>
        <w:t xml:space="preserve">Pour les cinq degrés de la servitude, </w:t>
      </w:r>
      <w:r w:rsidR="00FD7CE6">
        <w:rPr>
          <w:lang w:val="fr-FR"/>
        </w:rPr>
        <w:t>le criminel est</w:t>
      </w:r>
      <w:r w:rsidR="002608A6">
        <w:rPr>
          <w:lang w:val="fr-FR"/>
        </w:rPr>
        <w:t xml:space="preserve"> envo</w:t>
      </w:r>
      <w:r w:rsidR="00FD7CE6">
        <w:rPr>
          <w:lang w:val="fr-FR"/>
        </w:rPr>
        <w:t>yé</w:t>
      </w:r>
      <w:r w:rsidR="002608A6">
        <w:rPr>
          <w:lang w:val="fr-FR"/>
        </w:rPr>
        <w:t xml:space="preserve"> vers les relais postaux </w:t>
      </w:r>
      <w:r w:rsidR="00FD7CE6">
        <w:rPr>
          <w:lang w:val="fr-FR"/>
        </w:rPr>
        <w:t>de sa province d’origine. Pour les trois degrés de l’exil simple :</w:t>
      </w:r>
    </w:p>
    <w:p w14:paraId="7D2083F2" w14:textId="77777777" w:rsidR="00453AA8" w:rsidRDefault="00453AA8" w:rsidP="0051052C">
      <w:pPr>
        <w:jc w:val="both"/>
        <w:rPr>
          <w:lang w:val="fr-FR"/>
        </w:rPr>
      </w:pPr>
    </w:p>
    <w:p w14:paraId="6372D1C0" w14:textId="77777777" w:rsidR="00453AA8" w:rsidRDefault="00453AA8" w:rsidP="0051052C">
      <w:pPr>
        <w:jc w:val="both"/>
        <w:rPr>
          <w:lang w:val="fr-FR"/>
        </w:rPr>
      </w:pPr>
    </w:p>
    <w:p w14:paraId="0DA5DC6F" w14:textId="0AA6E03A" w:rsidR="00453AA8" w:rsidRPr="00453AA8" w:rsidRDefault="00453AA8" w:rsidP="00453AA8">
      <w:pPr>
        <w:jc w:val="both"/>
        <w:rPr>
          <w:b/>
          <w:lang w:val="fr-FR"/>
        </w:rPr>
      </w:pPr>
      <w:proofErr w:type="spellStart"/>
      <w:r w:rsidRPr="00453AA8">
        <w:rPr>
          <w:b/>
          <w:lang w:val="fr-FR"/>
        </w:rPr>
        <w:t>條例</w:t>
      </w:r>
      <w:proofErr w:type="spellEnd"/>
      <w:r w:rsidRPr="00453AA8">
        <w:rPr>
          <w:b/>
          <w:lang w:val="fr-FR"/>
        </w:rPr>
        <w:t>/</w:t>
      </w:r>
      <w:proofErr w:type="spellStart"/>
      <w:r w:rsidRPr="00453AA8">
        <w:rPr>
          <w:b/>
          <w:lang w:val="fr-FR"/>
        </w:rPr>
        <w:t>tiaoli</w:t>
      </w:r>
      <w:proofErr w:type="spellEnd"/>
      <w:r w:rsidRPr="00453AA8">
        <w:rPr>
          <w:b/>
          <w:lang w:val="fr-FR"/>
        </w:rPr>
        <w:t xml:space="preserve"> 1 </w:t>
      </w:r>
    </w:p>
    <w:p w14:paraId="533BEBFB" w14:textId="77777777" w:rsidR="00453AA8" w:rsidRDefault="00453AA8" w:rsidP="00453AA8">
      <w:pPr>
        <w:jc w:val="both"/>
        <w:rPr>
          <w:lang w:val="fr-FR"/>
        </w:rPr>
      </w:pPr>
    </w:p>
    <w:p w14:paraId="2F063E81" w14:textId="77777777" w:rsidR="00453AA8" w:rsidRPr="00D0799D" w:rsidRDefault="00453AA8" w:rsidP="00453AA8">
      <w:pPr>
        <w:pStyle w:val="NormalWeb"/>
        <w:jc w:val="both"/>
        <w:rPr>
          <w:rFonts w:ascii="Heiti TC Light" w:eastAsia="Heiti TC Light" w:hAnsi="Songti TC Regular" w:cstheme="minorBidi"/>
          <w:sz w:val="24"/>
          <w:szCs w:val="24"/>
        </w:rPr>
      </w:pPr>
      <w:proofErr w:type="spellStart"/>
      <w:r w:rsidRPr="00D0799D">
        <w:rPr>
          <w:rFonts w:ascii="Heiti TC Light" w:eastAsia="Heiti TC Light" w:hAnsi="Songti TC Regular" w:cstheme="minorBidi"/>
          <w:sz w:val="24"/>
          <w:szCs w:val="24"/>
        </w:rPr>
        <w:t>凡軍、流及外遣人犯，十月至正月終，及六月俱停其發遣，餘月照常發遣</w:t>
      </w:r>
      <w:proofErr w:type="spellEnd"/>
      <w:r w:rsidRPr="00D0799D">
        <w:rPr>
          <w:rFonts w:ascii="Heiti TC Light" w:eastAsia="Heiti TC Light" w:hAnsi="Songti TC Regular" w:cstheme="minorBidi"/>
          <w:sz w:val="24"/>
          <w:szCs w:val="24"/>
        </w:rPr>
        <w:t>。</w:t>
      </w:r>
    </w:p>
    <w:p w14:paraId="17908267" w14:textId="738D494A" w:rsidR="00453AA8" w:rsidRPr="00453AA8" w:rsidRDefault="00453AA8" w:rsidP="00453AA8">
      <w:pPr>
        <w:pStyle w:val="NormalWeb"/>
        <w:jc w:val="both"/>
        <w:rPr>
          <w:rFonts w:asciiTheme="minorHAnsi" w:hAnsiTheme="minorHAnsi" w:cstheme="minorBidi"/>
          <w:sz w:val="24"/>
          <w:szCs w:val="24"/>
        </w:rPr>
      </w:pPr>
      <w:r>
        <w:rPr>
          <w:rFonts w:asciiTheme="minorHAnsi" w:hAnsiTheme="minorHAnsi" w:cstheme="minorBidi"/>
          <w:sz w:val="24"/>
          <w:szCs w:val="24"/>
        </w:rPr>
        <w:t xml:space="preserve">Chaque fois qu’un criminel est condamné à l’exil militaire, à l’exil simple ou à </w:t>
      </w:r>
      <w:r w:rsidR="00097C1B">
        <w:rPr>
          <w:rFonts w:asciiTheme="minorHAnsi" w:hAnsiTheme="minorHAnsi" w:cstheme="minorBidi"/>
          <w:sz w:val="24"/>
          <w:szCs w:val="24"/>
        </w:rPr>
        <w:t xml:space="preserve">l’exil </w:t>
      </w:r>
      <w:r w:rsidR="00EA2EA4">
        <w:rPr>
          <w:rFonts w:asciiTheme="minorHAnsi" w:hAnsiTheme="minorHAnsi" w:cstheme="minorBidi"/>
          <w:sz w:val="24"/>
          <w:szCs w:val="24"/>
        </w:rPr>
        <w:t>vers</w:t>
      </w:r>
      <w:r w:rsidR="00097C1B">
        <w:rPr>
          <w:rFonts w:asciiTheme="minorHAnsi" w:hAnsiTheme="minorHAnsi" w:cstheme="minorBidi"/>
          <w:sz w:val="24"/>
          <w:szCs w:val="24"/>
        </w:rPr>
        <w:t xml:space="preserve"> </w:t>
      </w:r>
      <w:r w:rsidR="00EA2EA4">
        <w:rPr>
          <w:rFonts w:asciiTheme="minorHAnsi" w:hAnsiTheme="minorHAnsi" w:cstheme="minorBidi"/>
          <w:sz w:val="24"/>
          <w:szCs w:val="24"/>
        </w:rPr>
        <w:t>la Chine de l’extérieure</w:t>
      </w:r>
      <w:r w:rsidR="00097C1B">
        <w:rPr>
          <w:rStyle w:val="Marquenotebasdepage"/>
          <w:rFonts w:asciiTheme="minorHAnsi" w:hAnsiTheme="minorHAnsi" w:cstheme="minorBidi"/>
          <w:sz w:val="24"/>
          <w:szCs w:val="24"/>
        </w:rPr>
        <w:footnoteReference w:id="1"/>
      </w:r>
      <w:r w:rsidR="00EA2EA4">
        <w:rPr>
          <w:rFonts w:asciiTheme="minorHAnsi" w:hAnsiTheme="minorHAnsi" w:cstheme="minorBidi"/>
          <w:sz w:val="24"/>
          <w:szCs w:val="24"/>
        </w:rPr>
        <w:t>, du 10</w:t>
      </w:r>
      <w:r w:rsidR="00EA2EA4" w:rsidRPr="00EA2EA4">
        <w:rPr>
          <w:rFonts w:asciiTheme="minorHAnsi" w:hAnsiTheme="minorHAnsi" w:cstheme="minorBidi"/>
          <w:sz w:val="24"/>
          <w:szCs w:val="24"/>
          <w:vertAlign w:val="superscript"/>
        </w:rPr>
        <w:t>ème</w:t>
      </w:r>
      <w:r w:rsidR="00EA2EA4">
        <w:rPr>
          <w:rFonts w:asciiTheme="minorHAnsi" w:hAnsiTheme="minorHAnsi" w:cstheme="minorBidi"/>
          <w:sz w:val="24"/>
          <w:szCs w:val="24"/>
        </w:rPr>
        <w:t xml:space="preserve"> mois jusqu’au 1</w:t>
      </w:r>
      <w:r w:rsidR="00EA2EA4" w:rsidRPr="00EA2EA4">
        <w:rPr>
          <w:rFonts w:asciiTheme="minorHAnsi" w:hAnsiTheme="minorHAnsi" w:cstheme="minorBidi"/>
          <w:sz w:val="24"/>
          <w:szCs w:val="24"/>
          <w:vertAlign w:val="superscript"/>
        </w:rPr>
        <w:t>er</w:t>
      </w:r>
      <w:r w:rsidR="00EA2EA4">
        <w:rPr>
          <w:rFonts w:asciiTheme="minorHAnsi" w:hAnsiTheme="minorHAnsi" w:cstheme="minorBidi"/>
          <w:sz w:val="24"/>
          <w:szCs w:val="24"/>
        </w:rPr>
        <w:t xml:space="preserve"> mois et le 6</w:t>
      </w:r>
      <w:r w:rsidR="00EA2EA4" w:rsidRPr="00EA2EA4">
        <w:rPr>
          <w:rFonts w:asciiTheme="minorHAnsi" w:hAnsiTheme="minorHAnsi" w:cstheme="minorBidi"/>
          <w:sz w:val="24"/>
          <w:szCs w:val="24"/>
          <w:vertAlign w:val="superscript"/>
        </w:rPr>
        <w:t>ème</w:t>
      </w:r>
      <w:r w:rsidR="00EA2EA4">
        <w:rPr>
          <w:rFonts w:asciiTheme="minorHAnsi" w:hAnsiTheme="minorHAnsi" w:cstheme="minorBidi"/>
          <w:sz w:val="24"/>
          <w:szCs w:val="24"/>
        </w:rPr>
        <w:t xml:space="preserve"> mois, on arrête de mettre les criminels en envoi. Les autres mois, ils sont envoyés comme à l’ordinaire.</w:t>
      </w:r>
    </w:p>
    <w:p w14:paraId="1EB66D92" w14:textId="77777777" w:rsidR="00453AA8" w:rsidRPr="00453AA8" w:rsidRDefault="00453AA8" w:rsidP="00453AA8">
      <w:pPr>
        <w:jc w:val="both"/>
        <w:rPr>
          <w:b/>
          <w:lang w:val="fr-FR"/>
        </w:rPr>
      </w:pPr>
      <w:proofErr w:type="spellStart"/>
      <w:r w:rsidRPr="00453AA8">
        <w:rPr>
          <w:rFonts w:hint="eastAsia"/>
          <w:b/>
          <w:lang w:val="fr-FR"/>
        </w:rPr>
        <w:t>條例</w:t>
      </w:r>
      <w:proofErr w:type="spellEnd"/>
      <w:r w:rsidRPr="00453AA8">
        <w:rPr>
          <w:rFonts w:hint="eastAsia"/>
          <w:b/>
          <w:lang w:val="fr-FR"/>
        </w:rPr>
        <w:t>/</w:t>
      </w:r>
      <w:proofErr w:type="spellStart"/>
      <w:r w:rsidRPr="00453AA8">
        <w:rPr>
          <w:rFonts w:hint="eastAsia"/>
          <w:b/>
          <w:lang w:val="fr-FR"/>
        </w:rPr>
        <w:t>tiaoli</w:t>
      </w:r>
      <w:proofErr w:type="spellEnd"/>
      <w:r w:rsidRPr="00453AA8">
        <w:rPr>
          <w:rFonts w:hint="eastAsia"/>
          <w:b/>
          <w:lang w:val="fr-FR"/>
        </w:rPr>
        <w:t xml:space="preserve"> 2</w:t>
      </w:r>
    </w:p>
    <w:p w14:paraId="3763018C" w14:textId="77777777" w:rsidR="00453AA8" w:rsidRDefault="00453AA8" w:rsidP="00453AA8">
      <w:pPr>
        <w:jc w:val="both"/>
        <w:rPr>
          <w:lang w:val="fr-FR"/>
        </w:rPr>
      </w:pPr>
    </w:p>
    <w:p w14:paraId="39F214E1" w14:textId="00D7DBD2" w:rsidR="00453AA8" w:rsidRPr="00D0799D" w:rsidRDefault="00453AA8" w:rsidP="00D0799D">
      <w:pPr>
        <w:pStyle w:val="NormalWeb"/>
        <w:jc w:val="both"/>
        <w:rPr>
          <w:rFonts w:ascii="Heiti TC Light" w:eastAsia="Heiti TC Light" w:hAnsi="Songti TC Regular" w:cstheme="minorBidi"/>
          <w:sz w:val="24"/>
          <w:szCs w:val="24"/>
        </w:rPr>
      </w:pPr>
      <w:proofErr w:type="spellStart"/>
      <w:r w:rsidRPr="00D0799D">
        <w:rPr>
          <w:rFonts w:ascii="Heiti TC Light" w:eastAsia="Heiti TC Light" w:hAnsi="Songti TC Regular" w:cstheme="minorBidi" w:hint="eastAsia"/>
          <w:sz w:val="24"/>
          <w:szCs w:val="24"/>
        </w:rPr>
        <w:t>凡各省民人在京犯該應流并免死減等流犯，如無妻室及無應追埋葬銀兩者，順天府定地發配。如有妻室及應追銀兩</w:t>
      </w:r>
      <w:proofErr w:type="spellEnd"/>
      <w:r w:rsidRPr="00D0799D">
        <w:rPr>
          <w:rFonts w:ascii="Heiti TC Light" w:eastAsia="Heiti TC Light" w:hAnsi="Songti TC Regular" w:cstheme="minorBidi" w:hint="eastAsia"/>
          <w:sz w:val="24"/>
          <w:szCs w:val="24"/>
        </w:rPr>
        <w:t>。[</w:t>
      </w:r>
      <w:proofErr w:type="spellStart"/>
      <w:r w:rsidRPr="00D0799D">
        <w:rPr>
          <w:rFonts w:ascii="Heiti TC Light" w:eastAsia="Heiti TC Light" w:hAnsi="Songti TC Regular" w:cstheme="minorBidi" w:hint="eastAsia"/>
          <w:sz w:val="24"/>
          <w:szCs w:val="24"/>
        </w:rPr>
        <w:t>順天府</w:t>
      </w:r>
      <w:proofErr w:type="spellEnd"/>
      <w:r w:rsidRPr="00D0799D">
        <w:rPr>
          <w:rFonts w:ascii="Heiti TC Light" w:eastAsia="Heiti TC Light" w:hAnsi="Songti TC Regular" w:cstheme="minorBidi" w:hint="eastAsia"/>
          <w:sz w:val="24"/>
          <w:szCs w:val="24"/>
        </w:rPr>
        <w:t>]</w:t>
      </w:r>
      <w:proofErr w:type="spellStart"/>
      <w:r w:rsidRPr="00D0799D">
        <w:rPr>
          <w:rFonts w:ascii="Heiti TC Light" w:eastAsia="Heiti TC Light" w:hAnsi="Songti TC Regular" w:cstheme="minorBidi" w:hint="eastAsia"/>
          <w:sz w:val="24"/>
          <w:szCs w:val="24"/>
        </w:rPr>
        <w:t>轉發原籍地方，令其追銀僉妻，各照本省所定應流地方發配，追完銀兩解部，分別給主。不在本籍犯流者，亦照此例科斷</w:t>
      </w:r>
      <w:proofErr w:type="spellEnd"/>
      <w:r w:rsidRPr="00D0799D">
        <w:rPr>
          <w:rFonts w:ascii="Heiti TC Light" w:eastAsia="Heiti TC Light" w:hAnsi="Songti TC Regular" w:cstheme="minorBidi" w:hint="eastAsia"/>
          <w:sz w:val="24"/>
          <w:szCs w:val="24"/>
        </w:rPr>
        <w:t>。</w:t>
      </w:r>
    </w:p>
    <w:p w14:paraId="1D9A9E7F" w14:textId="2A783E50" w:rsidR="00EA2EA4" w:rsidRDefault="00A106EB" w:rsidP="00453AA8">
      <w:pPr>
        <w:jc w:val="both"/>
        <w:rPr>
          <w:lang w:val="fr-FR" w:eastAsia="zh-CN"/>
        </w:rPr>
      </w:pPr>
      <w:r>
        <w:rPr>
          <w:lang w:val="fr-FR"/>
        </w:rPr>
        <w:t xml:space="preserve">Lorsqu’un individu, </w:t>
      </w:r>
      <w:r w:rsidR="00EA2EA4">
        <w:rPr>
          <w:lang w:val="fr-FR"/>
        </w:rPr>
        <w:t>originaire de n’importe quelle province</w:t>
      </w:r>
      <w:r>
        <w:rPr>
          <w:lang w:val="fr-FR"/>
        </w:rPr>
        <w:t>,</w:t>
      </w:r>
      <w:r w:rsidR="00EA2EA4">
        <w:rPr>
          <w:lang w:val="fr-FR"/>
        </w:rPr>
        <w:t xml:space="preserve"> commet à la capitale des faits passibles de l’exil ou </w:t>
      </w:r>
      <w:r w:rsidR="00CD3F43">
        <w:rPr>
          <w:lang w:val="fr-FR"/>
        </w:rPr>
        <w:t xml:space="preserve">condamnés à l’exil après exemption de la peine de mort, </w:t>
      </w:r>
      <w:r>
        <w:rPr>
          <w:lang w:val="fr-FR"/>
        </w:rPr>
        <w:t>s’il</w:t>
      </w:r>
      <w:r w:rsidR="00CD3F43">
        <w:rPr>
          <w:lang w:val="fr-FR"/>
        </w:rPr>
        <w:t xml:space="preserve"> n’a pas d’épouse ou ne doit pas verser une indemnité funéraire, la préfecture de </w:t>
      </w:r>
      <w:proofErr w:type="spellStart"/>
      <w:r w:rsidR="00CD3F43">
        <w:rPr>
          <w:lang w:val="fr-FR"/>
        </w:rPr>
        <w:t>Shuntian</w:t>
      </w:r>
      <w:proofErr w:type="spellEnd"/>
      <w:r w:rsidR="00CD3F43">
        <w:rPr>
          <w:lang w:val="fr-FR"/>
        </w:rPr>
        <w:t xml:space="preserve"> dé</w:t>
      </w:r>
      <w:r>
        <w:rPr>
          <w:lang w:val="fr-FR"/>
        </w:rPr>
        <w:t>termine son lieu d’exil. S’il</w:t>
      </w:r>
      <w:r w:rsidR="00CD3F43">
        <w:rPr>
          <w:lang w:val="fr-FR"/>
        </w:rPr>
        <w:t xml:space="preserve"> a une épouse ou doit verser une indemnité funéraire, </w:t>
      </w:r>
      <w:r>
        <w:rPr>
          <w:lang w:val="fr-FR"/>
        </w:rPr>
        <w:t xml:space="preserve">la préfecture de </w:t>
      </w:r>
      <w:proofErr w:type="spellStart"/>
      <w:r>
        <w:rPr>
          <w:lang w:val="fr-FR"/>
        </w:rPr>
        <w:t>Shuntian</w:t>
      </w:r>
      <w:proofErr w:type="spellEnd"/>
      <w:r>
        <w:rPr>
          <w:lang w:val="fr-FR"/>
        </w:rPr>
        <w:t xml:space="preserve"> le transfert vers le lieu sur les registres duquel il est inscrit afin que soit </w:t>
      </w:r>
      <w:r w:rsidR="0027784E">
        <w:rPr>
          <w:rFonts w:hint="eastAsia"/>
          <w:lang w:val="fr-FR" w:eastAsia="zh-CN"/>
        </w:rPr>
        <w:t>po</w:t>
      </w:r>
      <w:r w:rsidR="0027784E">
        <w:rPr>
          <w:lang w:val="fr-FR" w:eastAsia="zh-CN"/>
        </w:rPr>
        <w:t>ursuivie la sa</w:t>
      </w:r>
      <w:r w:rsidR="00D306BF">
        <w:rPr>
          <w:lang w:val="fr-FR" w:eastAsia="zh-CN"/>
        </w:rPr>
        <w:t xml:space="preserve">isie de l’indemnité ou que son épouse le rejoigne ; </w:t>
      </w:r>
      <w:r w:rsidR="00033F77">
        <w:rPr>
          <w:lang w:val="fr-FR" w:eastAsia="zh-CN"/>
        </w:rPr>
        <w:t>chacun est</w:t>
      </w:r>
      <w:r w:rsidR="00D306BF">
        <w:rPr>
          <w:lang w:val="fr-FR" w:eastAsia="zh-CN"/>
        </w:rPr>
        <w:t xml:space="preserve"> </w:t>
      </w:r>
      <w:r w:rsidR="00033F77">
        <w:rPr>
          <w:lang w:val="fr-FR" w:eastAsia="zh-CN"/>
        </w:rPr>
        <w:t>envoyé</w:t>
      </w:r>
      <w:r w:rsidR="00D306BF">
        <w:rPr>
          <w:lang w:val="fr-FR" w:eastAsia="zh-CN"/>
        </w:rPr>
        <w:t xml:space="preserve"> vers </w:t>
      </w:r>
      <w:r w:rsidR="00033F77">
        <w:rPr>
          <w:lang w:val="fr-FR" w:eastAsia="zh-CN"/>
        </w:rPr>
        <w:t>son</w:t>
      </w:r>
      <w:r w:rsidR="00D306BF">
        <w:rPr>
          <w:lang w:val="fr-FR" w:eastAsia="zh-CN"/>
        </w:rPr>
        <w:t xml:space="preserve"> lieu d’exil déterminé en fonction de la province d’origine et, une fois la poursuite de l’indemnité achevée, il est </w:t>
      </w:r>
      <w:r w:rsidR="00033F77">
        <w:rPr>
          <w:lang w:val="fr-FR" w:eastAsia="zh-CN"/>
        </w:rPr>
        <w:t>transféré</w:t>
      </w:r>
      <w:r w:rsidR="00D306BF">
        <w:rPr>
          <w:lang w:val="fr-FR" w:eastAsia="zh-CN"/>
        </w:rPr>
        <w:t xml:space="preserve"> au ministère et les indemnités </w:t>
      </w:r>
      <w:r w:rsidR="00033F77">
        <w:rPr>
          <w:lang w:val="fr-FR" w:eastAsia="zh-CN"/>
        </w:rPr>
        <w:t xml:space="preserve">sont </w:t>
      </w:r>
      <w:r w:rsidR="00033F77">
        <w:rPr>
          <w:lang w:val="fr-FR" w:eastAsia="zh-CN"/>
        </w:rPr>
        <w:lastRenderedPageBreak/>
        <w:t>versées</w:t>
      </w:r>
      <w:r w:rsidR="00D306BF">
        <w:rPr>
          <w:lang w:val="fr-FR" w:eastAsia="zh-CN"/>
        </w:rPr>
        <w:t xml:space="preserve"> à la victime. </w:t>
      </w:r>
      <w:r w:rsidR="00033F77">
        <w:rPr>
          <w:lang w:val="fr-FR" w:eastAsia="zh-CN"/>
        </w:rPr>
        <w:t xml:space="preserve">Lorsque les faits sont commis en dehors du lieu </w:t>
      </w:r>
      <w:r w:rsidR="00033F77">
        <w:rPr>
          <w:lang w:val="fr-FR"/>
        </w:rPr>
        <w:t>sur les registres duquel le condamné à l’exil est inscrit, on juge également conformément à ce règlement.</w:t>
      </w:r>
    </w:p>
    <w:p w14:paraId="4FBF28CE" w14:textId="77777777" w:rsidR="00EA2EA4" w:rsidRPr="00453AA8" w:rsidRDefault="00EA2EA4" w:rsidP="00453AA8">
      <w:pPr>
        <w:jc w:val="both"/>
        <w:rPr>
          <w:lang w:val="fr-FR"/>
        </w:rPr>
      </w:pPr>
    </w:p>
    <w:p w14:paraId="1717E05F" w14:textId="77777777" w:rsidR="00453AA8" w:rsidRPr="00453AA8" w:rsidRDefault="00453AA8" w:rsidP="00453AA8">
      <w:pPr>
        <w:jc w:val="both"/>
        <w:rPr>
          <w:b/>
          <w:lang w:val="fr-FR"/>
        </w:rPr>
      </w:pPr>
      <w:proofErr w:type="spellStart"/>
      <w:r w:rsidRPr="00453AA8">
        <w:rPr>
          <w:rFonts w:hint="eastAsia"/>
          <w:b/>
          <w:lang w:val="fr-FR"/>
        </w:rPr>
        <w:t>條例</w:t>
      </w:r>
      <w:proofErr w:type="spellEnd"/>
      <w:r w:rsidRPr="00453AA8">
        <w:rPr>
          <w:rFonts w:hint="eastAsia"/>
          <w:b/>
          <w:lang w:val="fr-FR"/>
        </w:rPr>
        <w:t>/</w:t>
      </w:r>
      <w:proofErr w:type="spellStart"/>
      <w:r w:rsidRPr="00453AA8">
        <w:rPr>
          <w:rFonts w:hint="eastAsia"/>
          <w:b/>
          <w:lang w:val="fr-FR"/>
        </w:rPr>
        <w:t>tiaoli</w:t>
      </w:r>
      <w:proofErr w:type="spellEnd"/>
      <w:r w:rsidRPr="00453AA8">
        <w:rPr>
          <w:rFonts w:hint="eastAsia"/>
          <w:b/>
          <w:lang w:val="fr-FR"/>
        </w:rPr>
        <w:t xml:space="preserve"> 3</w:t>
      </w:r>
    </w:p>
    <w:p w14:paraId="6C3F39F0" w14:textId="77777777" w:rsidR="00453AA8" w:rsidRDefault="00453AA8" w:rsidP="00453AA8">
      <w:pPr>
        <w:jc w:val="both"/>
        <w:rPr>
          <w:lang w:val="fr-FR"/>
        </w:rPr>
      </w:pPr>
    </w:p>
    <w:p w14:paraId="0A074DD1" w14:textId="6DCCCF09" w:rsidR="00453AA8" w:rsidRPr="00D0799D" w:rsidRDefault="00453AA8" w:rsidP="00453AA8">
      <w:pPr>
        <w:jc w:val="both"/>
        <w:rPr>
          <w:rFonts w:ascii="Heiti TC Light" w:eastAsia="Heiti TC Light" w:hAnsi="Songti TC Regular"/>
          <w:lang w:val="fr-FR"/>
        </w:rPr>
      </w:pPr>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雲南</w:t>
      </w:r>
      <w:proofErr w:type="spellEnd"/>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徒罪人犯發本省</w:t>
      </w:r>
      <w:proofErr w:type="spellEnd"/>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多羅</w:t>
      </w:r>
      <w:proofErr w:type="spellEnd"/>
      <w:r w:rsidR="00693C77" w:rsidRPr="00D0799D">
        <w:rPr>
          <w:rFonts w:ascii="Heiti TC Light" w:eastAsia="Heiti TC Light" w:hAnsi="Songti TC Regular" w:hint="eastAsia"/>
          <w:lang w:val="fr-FR" w:eastAsia="zh-CN"/>
        </w:rPr>
        <w:t>、</w:t>
      </w:r>
      <w:proofErr w:type="spellStart"/>
      <w:r w:rsidRPr="00D0799D">
        <w:rPr>
          <w:rFonts w:ascii="Heiti TC Light" w:eastAsia="Heiti TC Light" w:hAnsi="Songti TC Regular" w:hint="eastAsia"/>
          <w:lang w:val="fr-FR"/>
        </w:rPr>
        <w:t>松林</w:t>
      </w:r>
      <w:proofErr w:type="spellEnd"/>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等十二驛擺站，罪重者迤東各府人犯發</w:t>
      </w:r>
      <w:proofErr w:type="spellEnd"/>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諾鄧</w:t>
      </w:r>
      <w:proofErr w:type="spellEnd"/>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等井煎鹽，迤西各府人犯發</w:t>
      </w:r>
      <w:proofErr w:type="spellEnd"/>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箇舊</w:t>
      </w:r>
      <w:proofErr w:type="spellEnd"/>
      <w:r w:rsidRPr="00D0799D">
        <w:rPr>
          <w:rFonts w:ascii="Heiti TC Light" w:eastAsia="Heiti TC Light" w:hAnsi="Songti TC Regular" w:hint="eastAsia"/>
          <w:lang w:val="fr-FR"/>
        </w:rPr>
        <w:t>]</w:t>
      </w:r>
      <w:proofErr w:type="spellStart"/>
      <w:r w:rsidRPr="00D0799D">
        <w:rPr>
          <w:rFonts w:ascii="Heiti TC Light" w:eastAsia="Heiti TC Light" w:hAnsi="Songti TC Regular" w:hint="eastAsia"/>
          <w:lang w:val="fr-FR"/>
        </w:rPr>
        <w:t>等廠熬鉛</w:t>
      </w:r>
      <w:proofErr w:type="spellEnd"/>
      <w:r w:rsidRPr="00D0799D">
        <w:rPr>
          <w:rFonts w:ascii="Heiti TC Light" w:eastAsia="Heiti TC Light" w:hAnsi="Songti TC Regular" w:hint="eastAsia"/>
          <w:lang w:val="fr-FR"/>
        </w:rPr>
        <w:t>。</w:t>
      </w:r>
    </w:p>
    <w:p w14:paraId="55411255" w14:textId="77777777" w:rsidR="00453AA8" w:rsidRDefault="00453AA8" w:rsidP="00453AA8">
      <w:pPr>
        <w:jc w:val="both"/>
        <w:rPr>
          <w:lang w:val="fr-FR"/>
        </w:rPr>
      </w:pPr>
    </w:p>
    <w:p w14:paraId="0C3553CD" w14:textId="5DC928EA" w:rsidR="00FA7F9A" w:rsidRDefault="008C4700" w:rsidP="00453AA8">
      <w:pPr>
        <w:jc w:val="both"/>
        <w:rPr>
          <w:lang w:val="fr-FR"/>
        </w:rPr>
      </w:pPr>
      <w:r>
        <w:rPr>
          <w:lang w:val="fr-FR"/>
        </w:rPr>
        <w:t xml:space="preserve">Les criminels condamnés à la servitude pénale dans la province du Yunnan sont envoyés comme garde des relais postaux de </w:t>
      </w:r>
      <w:proofErr w:type="spellStart"/>
      <w:r w:rsidR="00693C77">
        <w:rPr>
          <w:lang w:val="fr-FR"/>
        </w:rPr>
        <w:t>Duolin</w:t>
      </w:r>
      <w:proofErr w:type="spellEnd"/>
      <w:r w:rsidR="00693C77">
        <w:rPr>
          <w:lang w:val="fr-FR"/>
        </w:rPr>
        <w:t xml:space="preserve">, </w:t>
      </w:r>
      <w:proofErr w:type="spellStart"/>
      <w:r w:rsidR="00693C77">
        <w:rPr>
          <w:lang w:val="fr-FR"/>
        </w:rPr>
        <w:t>Songlin</w:t>
      </w:r>
      <w:proofErr w:type="spellEnd"/>
      <w:r w:rsidR="00693C77">
        <w:rPr>
          <w:lang w:val="fr-FR"/>
        </w:rPr>
        <w:t xml:space="preserve"> ou autres</w:t>
      </w:r>
      <w:r w:rsidR="00693C77">
        <w:rPr>
          <w:rStyle w:val="Marquenotebasdepage"/>
          <w:lang w:val="fr-FR"/>
        </w:rPr>
        <w:footnoteReference w:id="2"/>
      </w:r>
      <w:r w:rsidR="00693C77">
        <w:rPr>
          <w:lang w:val="fr-FR"/>
        </w:rPr>
        <w:t xml:space="preserve">. Si les faits sont plus graves, </w:t>
      </w:r>
      <w:r w:rsidR="00D357DD">
        <w:rPr>
          <w:lang w:val="fr-FR"/>
        </w:rPr>
        <w:t xml:space="preserve">les criminels des préfectures orientales sont envoyés vers les mines de sel de </w:t>
      </w:r>
      <w:proofErr w:type="spellStart"/>
      <w:r w:rsidR="00D357DD">
        <w:rPr>
          <w:lang w:val="fr-FR"/>
        </w:rPr>
        <w:t>Nuodeng</w:t>
      </w:r>
      <w:proofErr w:type="spellEnd"/>
      <w:r w:rsidR="00D357DD">
        <w:rPr>
          <w:rStyle w:val="Marquenotebasdepage"/>
          <w:lang w:val="fr-FR"/>
        </w:rPr>
        <w:footnoteReference w:id="3"/>
      </w:r>
      <w:r w:rsidR="00D357DD">
        <w:rPr>
          <w:lang w:val="fr-FR"/>
        </w:rPr>
        <w:t> ; les criminels des préfectures occidentales sont envoyés vers les mines de plomb de Gejiu</w:t>
      </w:r>
      <w:r w:rsidR="00E02347">
        <w:rPr>
          <w:rStyle w:val="Marquenotebasdepage"/>
          <w:lang w:val="fr-FR"/>
        </w:rPr>
        <w:footnoteReference w:id="4"/>
      </w:r>
      <w:r w:rsidR="00D357DD">
        <w:rPr>
          <w:lang w:val="fr-FR"/>
        </w:rPr>
        <w:t>.</w:t>
      </w:r>
    </w:p>
    <w:p w14:paraId="74DC841C" w14:textId="77777777" w:rsidR="00FA7F9A" w:rsidRPr="00453AA8" w:rsidRDefault="00FA7F9A" w:rsidP="00453AA8">
      <w:pPr>
        <w:jc w:val="both"/>
        <w:rPr>
          <w:lang w:val="fr-FR"/>
        </w:rPr>
      </w:pPr>
    </w:p>
    <w:p w14:paraId="3C6924B1" w14:textId="77777777" w:rsidR="00453AA8" w:rsidRPr="00453AA8" w:rsidRDefault="00453AA8" w:rsidP="00453AA8">
      <w:pPr>
        <w:jc w:val="both"/>
        <w:rPr>
          <w:b/>
          <w:lang w:val="fr-FR"/>
        </w:rPr>
      </w:pPr>
      <w:proofErr w:type="spellStart"/>
      <w:r w:rsidRPr="00453AA8">
        <w:rPr>
          <w:rFonts w:hint="eastAsia"/>
          <w:b/>
          <w:lang w:val="fr-FR"/>
        </w:rPr>
        <w:t>條例</w:t>
      </w:r>
      <w:proofErr w:type="spellEnd"/>
      <w:r w:rsidRPr="00453AA8">
        <w:rPr>
          <w:rFonts w:hint="eastAsia"/>
          <w:b/>
          <w:lang w:val="fr-FR"/>
        </w:rPr>
        <w:t>/</w:t>
      </w:r>
      <w:proofErr w:type="spellStart"/>
      <w:r w:rsidRPr="00453AA8">
        <w:rPr>
          <w:rFonts w:hint="eastAsia"/>
          <w:b/>
          <w:lang w:val="fr-FR"/>
        </w:rPr>
        <w:t>tiaoli</w:t>
      </w:r>
      <w:proofErr w:type="spellEnd"/>
      <w:r w:rsidRPr="00453AA8">
        <w:rPr>
          <w:rFonts w:hint="eastAsia"/>
          <w:b/>
          <w:lang w:val="fr-FR"/>
        </w:rPr>
        <w:t xml:space="preserve"> 4</w:t>
      </w:r>
    </w:p>
    <w:p w14:paraId="509EA379" w14:textId="77777777" w:rsidR="00453AA8" w:rsidRDefault="00453AA8" w:rsidP="00453AA8">
      <w:pPr>
        <w:jc w:val="both"/>
        <w:rPr>
          <w:lang w:val="fr-FR"/>
        </w:rPr>
      </w:pPr>
    </w:p>
    <w:p w14:paraId="46E58FE3" w14:textId="28B15DAA" w:rsidR="00453AA8" w:rsidRPr="00D0799D" w:rsidRDefault="00453AA8" w:rsidP="00453AA8">
      <w:pPr>
        <w:jc w:val="both"/>
        <w:rPr>
          <w:rFonts w:ascii="Heiti TC Light" w:eastAsia="Heiti TC Light" w:hAnsi="Songti TC Regular"/>
          <w:lang w:val="fr-FR"/>
        </w:rPr>
      </w:pPr>
      <w:proofErr w:type="spellStart"/>
      <w:r w:rsidRPr="00D0799D">
        <w:rPr>
          <w:rFonts w:ascii="Heiti TC Light" w:eastAsia="Heiti TC Light" w:hAnsi="Songti TC Regular" w:hint="eastAsia"/>
          <w:lang w:val="fr-FR"/>
        </w:rPr>
        <w:t>軍、流、徒犯俱至配所照應杖之數折責，惟緣坐流軍不加杖</w:t>
      </w:r>
      <w:proofErr w:type="spellEnd"/>
      <w:r w:rsidRPr="00D0799D">
        <w:rPr>
          <w:rFonts w:ascii="Heiti TC Light" w:eastAsia="Heiti TC Light" w:hAnsi="Songti TC Regular" w:hint="eastAsia"/>
          <w:lang w:val="fr-FR"/>
        </w:rPr>
        <w:t>。</w:t>
      </w:r>
    </w:p>
    <w:p w14:paraId="5A39D494" w14:textId="77777777" w:rsidR="006A6058" w:rsidRDefault="006A6058" w:rsidP="00453AA8">
      <w:pPr>
        <w:jc w:val="both"/>
        <w:rPr>
          <w:lang w:val="fr-FR"/>
        </w:rPr>
      </w:pPr>
    </w:p>
    <w:p w14:paraId="779D2095" w14:textId="151CACCE" w:rsidR="006A6058" w:rsidRDefault="006A6058" w:rsidP="00453AA8">
      <w:pPr>
        <w:jc w:val="both"/>
        <w:rPr>
          <w:lang w:val="fr-FR"/>
        </w:rPr>
      </w:pPr>
      <w:r>
        <w:rPr>
          <w:lang w:val="fr-FR"/>
        </w:rPr>
        <w:t>Les criminels condamnés aux peines d’exil militaire, d’exil simple ou de servitude reçoivent tous la bastonnade une fois arrivés à leur lieu d’exil ; seuls sont condamnés à l’exil simple ou militaire par solidarité familiale ne reçoivent pas la bastonnade.</w:t>
      </w:r>
    </w:p>
    <w:p w14:paraId="081E1775" w14:textId="77777777" w:rsidR="004F6150" w:rsidRDefault="004F6150" w:rsidP="00453AA8">
      <w:pPr>
        <w:jc w:val="both"/>
        <w:rPr>
          <w:lang w:val="fr-FR"/>
        </w:rPr>
      </w:pPr>
    </w:p>
    <w:p w14:paraId="634665AA" w14:textId="77777777" w:rsidR="004F6150" w:rsidRDefault="004F6150" w:rsidP="00453AA8">
      <w:pPr>
        <w:jc w:val="both"/>
        <w:rPr>
          <w:lang w:val="fr-FR"/>
        </w:rPr>
      </w:pPr>
    </w:p>
    <w:p w14:paraId="68D0EBD0" w14:textId="436D96B4" w:rsidR="004F6150" w:rsidRPr="004F6150" w:rsidRDefault="004F6150" w:rsidP="004F6150">
      <w:pPr>
        <w:jc w:val="both"/>
        <w:rPr>
          <w:b/>
          <w:lang w:val="fr-FR"/>
        </w:rPr>
      </w:pPr>
      <w:r w:rsidRPr="004F6150">
        <w:rPr>
          <w:rFonts w:hint="eastAsia"/>
          <w:b/>
          <w:lang w:val="fr-FR"/>
        </w:rPr>
        <w:t>律</w:t>
      </w:r>
      <w:r w:rsidRPr="004F6150">
        <w:rPr>
          <w:b/>
          <w:lang w:val="fr-FR"/>
        </w:rPr>
        <w:t>/</w:t>
      </w:r>
      <w:proofErr w:type="spellStart"/>
      <w:r w:rsidRPr="004F6150">
        <w:rPr>
          <w:b/>
          <w:lang w:val="fr-FR"/>
        </w:rPr>
        <w:t>lü</w:t>
      </w:r>
      <w:proofErr w:type="spellEnd"/>
      <w:r w:rsidRPr="004F6150">
        <w:rPr>
          <w:b/>
          <w:lang w:val="fr-FR"/>
        </w:rPr>
        <w:t xml:space="preserve"> 46 | </w:t>
      </w:r>
      <w:proofErr w:type="spellStart"/>
      <w:r w:rsidRPr="004F6150">
        <w:rPr>
          <w:b/>
          <w:lang w:val="fr-FR"/>
        </w:rPr>
        <w:t>Chongjun</w:t>
      </w:r>
      <w:proofErr w:type="spellEnd"/>
      <w:r w:rsidRPr="004F6150">
        <w:rPr>
          <w:b/>
          <w:lang w:val="fr-FR"/>
        </w:rPr>
        <w:t xml:space="preserve"> </w:t>
      </w:r>
      <w:proofErr w:type="spellStart"/>
      <w:r w:rsidRPr="004F6150">
        <w:rPr>
          <w:b/>
          <w:lang w:val="fr-FR"/>
        </w:rPr>
        <w:t>difang</w:t>
      </w:r>
      <w:proofErr w:type="spellEnd"/>
      <w:r w:rsidRPr="004F6150">
        <w:rPr>
          <w:b/>
          <w:lang w:val="fr-FR"/>
        </w:rPr>
        <w:t xml:space="preserve"> </w:t>
      </w:r>
      <w:proofErr w:type="spellStart"/>
      <w:r w:rsidRPr="004F6150">
        <w:rPr>
          <w:rFonts w:hint="eastAsia"/>
          <w:b/>
          <w:lang w:val="fr-FR"/>
        </w:rPr>
        <w:t>充軍地方</w:t>
      </w:r>
      <w:proofErr w:type="spellEnd"/>
      <w:r w:rsidR="00D0799D">
        <w:rPr>
          <w:b/>
          <w:lang w:val="fr-FR"/>
        </w:rPr>
        <w:t xml:space="preserve"> </w:t>
      </w:r>
      <w:r w:rsidR="00D0799D" w:rsidRPr="00D0799D">
        <w:rPr>
          <w:lang w:val="fr-FR"/>
        </w:rPr>
        <w:t>Les lieux de l’exil militaire.</w:t>
      </w:r>
      <w:r w:rsidR="00C47DD4">
        <w:rPr>
          <w:lang w:val="fr-FR"/>
        </w:rPr>
        <w:t xml:space="preserve"> [Version 1740]</w:t>
      </w:r>
    </w:p>
    <w:p w14:paraId="31F381ED" w14:textId="77777777" w:rsidR="004F6150" w:rsidRPr="004F6150" w:rsidRDefault="004F6150" w:rsidP="004F6150">
      <w:pPr>
        <w:jc w:val="both"/>
        <w:rPr>
          <w:lang w:val="fr-FR"/>
        </w:rPr>
      </w:pPr>
    </w:p>
    <w:p w14:paraId="057694F6" w14:textId="65CC2222" w:rsidR="004F6150" w:rsidRDefault="004F6150" w:rsidP="004F6150">
      <w:pPr>
        <w:jc w:val="both"/>
        <w:rPr>
          <w:rFonts w:ascii="Heiti TC Light" w:eastAsia="Heiti TC Light" w:hAnsi="Songti TC Regular"/>
          <w:lang w:val="fr-FR"/>
        </w:rPr>
      </w:pPr>
      <w:r w:rsidRPr="00D0799D">
        <w:rPr>
          <w:rFonts w:ascii="Heiti TC Light" w:eastAsia="Heiti TC Light" w:hAnsi="Songti TC Regular" w:hint="eastAsia"/>
          <w:lang w:val="fr-FR"/>
        </w:rPr>
        <w:t>凡問該充軍者，附近，發二千里；邊衛，發二千五百里；邊遠，發三千里；極邊、煙瘴，俱發四千里。如無煙瘴地方，即以極邊為煙瘴，定衛發遣。充軍人犯，在京，兵部定衛；在外，巡撫定衛，仍抄招知會兵部。其問該邊外為民者，抄招解送</w:t>
      </w:r>
      <w:r w:rsidRPr="00D0799D">
        <w:rPr>
          <w:rFonts w:ascii="Heiti TC Light" w:eastAsia="Heiti TC Light" w:hAnsi="Songti TC Regular"/>
          <w:lang w:val="fr-FR"/>
        </w:rPr>
        <w:t>戶</w:t>
      </w:r>
      <w:r w:rsidRPr="00D0799D">
        <w:rPr>
          <w:rFonts w:ascii="Heiti TC Light" w:eastAsia="Heiti TC Light" w:hAnsi="Songti TC Regular" w:hint="eastAsia"/>
          <w:lang w:val="fr-FR"/>
        </w:rPr>
        <w:t>部編發。</w:t>
      </w:r>
    </w:p>
    <w:p w14:paraId="7418B67E" w14:textId="77777777" w:rsidR="00D0799D" w:rsidRPr="00A65A98" w:rsidRDefault="00D0799D" w:rsidP="004F6150">
      <w:pPr>
        <w:jc w:val="both"/>
        <w:rPr>
          <w:lang w:val="fr-FR"/>
        </w:rPr>
      </w:pPr>
    </w:p>
    <w:p w14:paraId="731DEA3F" w14:textId="43AE7F3E" w:rsidR="00D0799D" w:rsidRDefault="00A65A98" w:rsidP="004F6150">
      <w:pPr>
        <w:jc w:val="both"/>
        <w:rPr>
          <w:lang w:val="fr-FR"/>
        </w:rPr>
      </w:pPr>
      <w:r w:rsidRPr="00A65A98">
        <w:rPr>
          <w:lang w:val="fr-FR"/>
        </w:rPr>
        <w:t xml:space="preserve">Chaque fois </w:t>
      </w:r>
      <w:r>
        <w:rPr>
          <w:lang w:val="fr-FR"/>
        </w:rPr>
        <w:t>que la peine d’</w:t>
      </w:r>
      <w:r w:rsidR="00F556C6">
        <w:rPr>
          <w:lang w:val="fr-FR"/>
        </w:rPr>
        <w:t xml:space="preserve">exil militaire est prononcée, si la condamnation est vers un lieu à proximité, la distance est de 2000 li ; s’il s’agit d’un exil vers une garnison </w:t>
      </w:r>
      <w:r w:rsidR="00CF3DFF">
        <w:rPr>
          <w:lang w:val="fr-FR"/>
        </w:rPr>
        <w:t>frontalière</w:t>
      </w:r>
      <w:r w:rsidR="00CF3DFF">
        <w:rPr>
          <w:rStyle w:val="Marquenotebasdepage"/>
          <w:lang w:val="fr-FR"/>
        </w:rPr>
        <w:footnoteReference w:id="5"/>
      </w:r>
      <w:r w:rsidR="00CF3DFF">
        <w:rPr>
          <w:lang w:val="fr-FR"/>
        </w:rPr>
        <w:t xml:space="preserve">, la distance est de 2500 li ; s’il s’agit d’un exil vers une frontière éloignée, la distance est de 3000 li ; s’il s’agit d’un exil vers une frontière extrême, la distance est de 4000 li ; s’il s’agit d’un exil vers une région infestée et malarienne, la distance est de 4000 li. En cas d’absence de région infestée et malarienne, on remplace </w:t>
      </w:r>
      <w:r w:rsidR="003C0570">
        <w:rPr>
          <w:lang w:val="fr-FR"/>
        </w:rPr>
        <w:t>la région infestée et malarienne par une frontière extrême</w:t>
      </w:r>
      <w:r w:rsidR="00EA4722">
        <w:rPr>
          <w:lang w:val="fr-FR"/>
        </w:rPr>
        <w:t xml:space="preserve"> et on détermine la garnison vers laquelle le criminel est envoyé. Lorsqu’un criminel est condamné à l’exil militaire à la capitale, le ministère des Armées détermine la garnison ; s’il est condamné </w:t>
      </w:r>
      <w:r w:rsidR="00A31F47">
        <w:rPr>
          <w:lang w:val="fr-FR"/>
        </w:rPr>
        <w:t>à l’extérieur de la capitale, le gouverneur de province détermi</w:t>
      </w:r>
      <w:r w:rsidR="00C47DD4">
        <w:rPr>
          <w:lang w:val="fr-FR"/>
        </w:rPr>
        <w:t>ne la garnison mais une copie des aveux est envoyée au ministère des Peines pour information. Lorsque la peine de bannissement est prononcée, une copie des aveux est envoyée au ministère des Fonctionnaires pour compilation.</w:t>
      </w:r>
    </w:p>
    <w:p w14:paraId="18545706" w14:textId="77777777" w:rsidR="00C47DD4" w:rsidRDefault="00C47DD4" w:rsidP="004F6150">
      <w:pPr>
        <w:jc w:val="both"/>
        <w:rPr>
          <w:lang w:val="fr-FR"/>
        </w:rPr>
      </w:pPr>
    </w:p>
    <w:p w14:paraId="180E8D62" w14:textId="43236E6D" w:rsidR="00A16395" w:rsidRDefault="00A16395" w:rsidP="004F6150">
      <w:pPr>
        <w:jc w:val="both"/>
        <w:rPr>
          <w:lang w:val="fr-FR"/>
        </w:rPr>
      </w:pPr>
      <w:r>
        <w:rPr>
          <w:lang w:val="fr-FR"/>
        </w:rPr>
        <w:t>D’après le HDSL, modifié à plusieurs reprises entre 1767 et 1772.</w:t>
      </w:r>
    </w:p>
    <w:p w14:paraId="015298C9" w14:textId="77777777" w:rsidR="00A16395" w:rsidRDefault="00A16395" w:rsidP="004F6150">
      <w:pPr>
        <w:jc w:val="both"/>
        <w:rPr>
          <w:lang w:val="fr-FR"/>
        </w:rPr>
      </w:pPr>
    </w:p>
    <w:p w14:paraId="4834DB1C" w14:textId="1668FA6B" w:rsidR="00C47DD4" w:rsidRPr="004F6150" w:rsidRDefault="00C47DD4" w:rsidP="00C47DD4">
      <w:pPr>
        <w:jc w:val="both"/>
        <w:rPr>
          <w:b/>
          <w:lang w:val="fr-FR"/>
        </w:rPr>
      </w:pPr>
      <w:r w:rsidRPr="004F6150">
        <w:rPr>
          <w:rFonts w:hint="eastAsia"/>
          <w:b/>
          <w:lang w:val="fr-FR"/>
        </w:rPr>
        <w:t>律</w:t>
      </w:r>
      <w:r w:rsidRPr="004F6150">
        <w:rPr>
          <w:b/>
          <w:lang w:val="fr-FR"/>
        </w:rPr>
        <w:t>/</w:t>
      </w:r>
      <w:proofErr w:type="spellStart"/>
      <w:r w:rsidRPr="004F6150">
        <w:rPr>
          <w:b/>
          <w:lang w:val="fr-FR"/>
        </w:rPr>
        <w:t>lü</w:t>
      </w:r>
      <w:proofErr w:type="spellEnd"/>
      <w:r w:rsidRPr="004F6150">
        <w:rPr>
          <w:b/>
          <w:lang w:val="fr-FR"/>
        </w:rPr>
        <w:t xml:space="preserve"> 46 | </w:t>
      </w:r>
      <w:proofErr w:type="spellStart"/>
      <w:r w:rsidRPr="004F6150">
        <w:rPr>
          <w:b/>
          <w:lang w:val="fr-FR"/>
        </w:rPr>
        <w:t>Chongjun</w:t>
      </w:r>
      <w:proofErr w:type="spellEnd"/>
      <w:r w:rsidRPr="004F6150">
        <w:rPr>
          <w:b/>
          <w:lang w:val="fr-FR"/>
        </w:rPr>
        <w:t xml:space="preserve"> </w:t>
      </w:r>
      <w:proofErr w:type="spellStart"/>
      <w:r w:rsidRPr="004F6150">
        <w:rPr>
          <w:b/>
          <w:lang w:val="fr-FR"/>
        </w:rPr>
        <w:t>difang</w:t>
      </w:r>
      <w:proofErr w:type="spellEnd"/>
      <w:r w:rsidRPr="004F6150">
        <w:rPr>
          <w:b/>
          <w:lang w:val="fr-FR"/>
        </w:rPr>
        <w:t xml:space="preserve"> </w:t>
      </w:r>
      <w:proofErr w:type="spellStart"/>
      <w:r w:rsidRPr="004F6150">
        <w:rPr>
          <w:rFonts w:hint="eastAsia"/>
          <w:b/>
          <w:lang w:val="fr-FR"/>
        </w:rPr>
        <w:t>充軍地方</w:t>
      </w:r>
      <w:proofErr w:type="spellEnd"/>
      <w:r>
        <w:rPr>
          <w:b/>
          <w:lang w:val="fr-FR"/>
        </w:rPr>
        <w:t xml:space="preserve"> </w:t>
      </w:r>
      <w:r w:rsidRPr="00D0799D">
        <w:rPr>
          <w:lang w:val="fr-FR"/>
        </w:rPr>
        <w:t>Les lieux de l’exil militaire.</w:t>
      </w:r>
      <w:r>
        <w:rPr>
          <w:lang w:val="fr-FR"/>
        </w:rPr>
        <w:t xml:space="preserve"> [Version DLCY]</w:t>
      </w:r>
    </w:p>
    <w:p w14:paraId="769B516D" w14:textId="77777777" w:rsidR="00C47DD4" w:rsidRDefault="00C47DD4" w:rsidP="004F6150">
      <w:pPr>
        <w:jc w:val="both"/>
        <w:rPr>
          <w:lang w:val="fr-FR"/>
        </w:rPr>
      </w:pPr>
    </w:p>
    <w:p w14:paraId="545B8BCC" w14:textId="4F4D4D8E" w:rsidR="00C47DD4" w:rsidRDefault="00740263" w:rsidP="004F6150">
      <w:pPr>
        <w:jc w:val="both"/>
        <w:rPr>
          <w:lang w:val="fr-FR"/>
        </w:rPr>
      </w:pPr>
      <w:r>
        <w:rPr>
          <w:rFonts w:ascii="Lantinghei SC Extralight" w:eastAsia="Times New Roman" w:hAnsi="Lantinghei SC Extralight" w:cs="Lantinghei SC Extralight"/>
        </w:rPr>
        <w:t>凡問該充軍者，附近發二千里，近邊發二千五百里，邊遠發三千里，極邊煙瘴倶發四千里。定地發遣充軍人犯，在京兵部定地，在外巡撫定地，仍抄招知會兵部。</w:t>
      </w:r>
    </w:p>
    <w:p w14:paraId="2291F75F" w14:textId="77777777" w:rsidR="00740263" w:rsidRDefault="00740263" w:rsidP="004F6150">
      <w:pPr>
        <w:jc w:val="both"/>
        <w:rPr>
          <w:lang w:val="fr-FR"/>
        </w:rPr>
      </w:pPr>
    </w:p>
    <w:p w14:paraId="54CBC3F0" w14:textId="18CA5630" w:rsidR="00740263" w:rsidRPr="00A65A98" w:rsidRDefault="00740263" w:rsidP="004F6150">
      <w:pPr>
        <w:jc w:val="both"/>
        <w:rPr>
          <w:lang w:val="fr-FR"/>
        </w:rPr>
      </w:pPr>
      <w:r w:rsidRPr="00A65A98">
        <w:rPr>
          <w:lang w:val="fr-FR"/>
        </w:rPr>
        <w:t xml:space="preserve">Chaque fois </w:t>
      </w:r>
      <w:r>
        <w:rPr>
          <w:lang w:val="fr-FR"/>
        </w:rPr>
        <w:t xml:space="preserve">que la peine d’exil militaire est prononcée, si la condamnation est vers un lieu à proximité, la distance est de 2000 li ; s’il s’agit d’un exil vers une frontière proche, la distance est de 2500 li ; s’il s’agit d’un exil vers une frontière éloignée, la distance est de 3000 li ; s’il s’agit d’un exil vers une frontière extrême ou d’un exil vers une région infestée et malarienne, la distance est de 4000 li. </w:t>
      </w:r>
      <w:r w:rsidR="00001EB8">
        <w:rPr>
          <w:lang w:val="fr-FR"/>
        </w:rPr>
        <w:t>Lorsqu’un criminel est condamné à l’exil militaire, le lieu d’exil est déterminé par le ministère des Armées lorsque la peine est prononcée à la capitale,  le lieu d’exil est déterminé par le gouverneur de province lorsque la peine est prononcée à l’extérieure de la capitale ; une copie des aveux est envoyée au ministère des Peines pour information.</w:t>
      </w:r>
    </w:p>
    <w:sectPr w:rsidR="00740263" w:rsidRPr="00A65A98" w:rsidSect="007D3D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942D0" w14:textId="77777777" w:rsidR="00740263" w:rsidRDefault="00740263" w:rsidP="00097C1B">
      <w:r>
        <w:separator/>
      </w:r>
    </w:p>
  </w:endnote>
  <w:endnote w:type="continuationSeparator" w:id="0">
    <w:p w14:paraId="1E146056" w14:textId="77777777" w:rsidR="00740263" w:rsidRDefault="00740263" w:rsidP="0009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iti TC Light">
    <w:panose1 w:val="02000000000000000000"/>
    <w:charset w:val="51"/>
    <w:family w:val="auto"/>
    <w:pitch w:val="variable"/>
    <w:sig w:usb0="8000002F" w:usb1="0808004A" w:usb2="00000010" w:usb3="00000000" w:csb0="00100000" w:csb1="00000000"/>
  </w:font>
  <w:font w:name="Songti TC Regular">
    <w:panose1 w:val="02010600040101010101"/>
    <w:charset w:val="51"/>
    <w:family w:val="auto"/>
    <w:pitch w:val="variable"/>
    <w:sig w:usb0="00000287" w:usb1="080F0000" w:usb2="00000010" w:usb3="00000000" w:csb0="0014009F"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39D9" w14:textId="77777777" w:rsidR="00740263" w:rsidRDefault="00740263" w:rsidP="00097C1B">
      <w:r>
        <w:separator/>
      </w:r>
    </w:p>
  </w:footnote>
  <w:footnote w:type="continuationSeparator" w:id="0">
    <w:p w14:paraId="50440B9E" w14:textId="77777777" w:rsidR="00740263" w:rsidRDefault="00740263" w:rsidP="00097C1B">
      <w:r>
        <w:continuationSeparator/>
      </w:r>
    </w:p>
  </w:footnote>
  <w:footnote w:id="1">
    <w:p w14:paraId="254B223C" w14:textId="12583B66" w:rsidR="00740263" w:rsidRPr="00FB1126" w:rsidRDefault="00740263">
      <w:pPr>
        <w:pStyle w:val="Notedebasdepage"/>
        <w:rPr>
          <w:sz w:val="20"/>
          <w:szCs w:val="20"/>
          <w:lang w:val="fr-FR"/>
        </w:rPr>
      </w:pPr>
      <w:r w:rsidRPr="00FB1126">
        <w:rPr>
          <w:rStyle w:val="Marquenotebasdepage"/>
          <w:sz w:val="20"/>
          <w:szCs w:val="20"/>
          <w:lang w:val="fr-FR"/>
        </w:rPr>
        <w:footnoteRef/>
      </w:r>
      <w:r w:rsidRPr="00FB1126">
        <w:rPr>
          <w:sz w:val="20"/>
          <w:szCs w:val="20"/>
          <w:lang w:val="fr-FR"/>
        </w:rPr>
        <w:t xml:space="preserve"> Les Qing distinguaient deux </w:t>
      </w:r>
      <w:r>
        <w:rPr>
          <w:sz w:val="20"/>
          <w:szCs w:val="20"/>
          <w:lang w:val="fr-FR"/>
        </w:rPr>
        <w:t>types d’exil, selon que la personne, origine d’une des provinces de la Chine de l’intérieure était envoyée vers les marches de l’empire,  ou qu’elle faisait le trajet inverse.</w:t>
      </w:r>
    </w:p>
  </w:footnote>
  <w:footnote w:id="2">
    <w:p w14:paraId="7F83F5BF" w14:textId="20A033E4" w:rsidR="00740263" w:rsidRPr="00E02347" w:rsidRDefault="00740263">
      <w:pPr>
        <w:pStyle w:val="Notedebasdepage"/>
        <w:rPr>
          <w:sz w:val="20"/>
          <w:szCs w:val="20"/>
          <w:lang w:val="fr-FR"/>
        </w:rPr>
      </w:pPr>
      <w:r w:rsidRPr="00E02347">
        <w:rPr>
          <w:rStyle w:val="Marquenotebasdepage"/>
          <w:sz w:val="20"/>
          <w:szCs w:val="20"/>
        </w:rPr>
        <w:footnoteRef/>
      </w:r>
      <w:r w:rsidRPr="00E02347">
        <w:rPr>
          <w:sz w:val="20"/>
          <w:szCs w:val="20"/>
        </w:rPr>
        <w:t xml:space="preserve"> </w:t>
      </w:r>
      <w:r w:rsidRPr="00E02347">
        <w:rPr>
          <w:sz w:val="20"/>
          <w:szCs w:val="20"/>
          <w:lang w:val="fr-FR"/>
        </w:rPr>
        <w:t>Dans la préfecture de Qujing.</w:t>
      </w:r>
    </w:p>
  </w:footnote>
  <w:footnote w:id="3">
    <w:p w14:paraId="3439CBA6" w14:textId="17399A0A" w:rsidR="00740263" w:rsidRPr="00E02347" w:rsidRDefault="00740263">
      <w:pPr>
        <w:pStyle w:val="Notedebasdepage"/>
        <w:rPr>
          <w:sz w:val="20"/>
          <w:szCs w:val="20"/>
          <w:lang w:val="fr-FR"/>
        </w:rPr>
      </w:pPr>
      <w:r w:rsidRPr="00E02347">
        <w:rPr>
          <w:rStyle w:val="Marquenotebasdepage"/>
          <w:sz w:val="20"/>
          <w:szCs w:val="20"/>
        </w:rPr>
        <w:footnoteRef/>
      </w:r>
      <w:r w:rsidRPr="00E02347">
        <w:rPr>
          <w:sz w:val="20"/>
          <w:szCs w:val="20"/>
        </w:rPr>
        <w:t xml:space="preserve"> </w:t>
      </w:r>
      <w:proofErr w:type="spellStart"/>
      <w:r w:rsidRPr="00E02347">
        <w:rPr>
          <w:sz w:val="20"/>
          <w:szCs w:val="20"/>
        </w:rPr>
        <w:t>Dans</w:t>
      </w:r>
      <w:proofErr w:type="spellEnd"/>
      <w:r w:rsidRPr="00E02347">
        <w:rPr>
          <w:sz w:val="20"/>
          <w:szCs w:val="20"/>
        </w:rPr>
        <w:t xml:space="preserve"> le district de </w:t>
      </w:r>
      <w:proofErr w:type="spellStart"/>
      <w:r w:rsidRPr="00E02347">
        <w:rPr>
          <w:sz w:val="20"/>
          <w:szCs w:val="20"/>
        </w:rPr>
        <w:t>Yunlong</w:t>
      </w:r>
      <w:proofErr w:type="spellEnd"/>
      <w:r w:rsidRPr="00E02347">
        <w:rPr>
          <w:sz w:val="20"/>
          <w:szCs w:val="20"/>
        </w:rPr>
        <w:t>.</w:t>
      </w:r>
    </w:p>
  </w:footnote>
  <w:footnote w:id="4">
    <w:p w14:paraId="09337134" w14:textId="3EAADFD2" w:rsidR="00740263" w:rsidRPr="00E02347" w:rsidRDefault="00740263">
      <w:pPr>
        <w:pStyle w:val="Notedebasdepage"/>
        <w:rPr>
          <w:sz w:val="22"/>
          <w:szCs w:val="22"/>
          <w:lang w:val="fr-FR"/>
        </w:rPr>
      </w:pPr>
      <w:r w:rsidRPr="00E02347">
        <w:rPr>
          <w:rStyle w:val="Marquenotebasdepage"/>
          <w:sz w:val="20"/>
          <w:szCs w:val="20"/>
        </w:rPr>
        <w:footnoteRef/>
      </w:r>
      <w:r w:rsidRPr="00E02347">
        <w:rPr>
          <w:sz w:val="20"/>
          <w:szCs w:val="20"/>
        </w:rPr>
        <w:t xml:space="preserve"> </w:t>
      </w:r>
      <w:r w:rsidRPr="00E02347">
        <w:rPr>
          <w:sz w:val="20"/>
          <w:szCs w:val="20"/>
          <w:lang w:val="fr-FR"/>
        </w:rPr>
        <w:t xml:space="preserve">Préfecture de </w:t>
      </w:r>
      <w:proofErr w:type="spellStart"/>
      <w:r w:rsidRPr="00E02347">
        <w:rPr>
          <w:sz w:val="20"/>
          <w:szCs w:val="20"/>
          <w:lang w:val="fr-FR"/>
        </w:rPr>
        <w:t>Lin’an</w:t>
      </w:r>
      <w:proofErr w:type="spellEnd"/>
      <w:r w:rsidRPr="00E02347">
        <w:rPr>
          <w:sz w:val="20"/>
          <w:szCs w:val="20"/>
          <w:lang w:val="fr-FR"/>
        </w:rPr>
        <w:t>.</w:t>
      </w:r>
    </w:p>
  </w:footnote>
  <w:footnote w:id="5">
    <w:p w14:paraId="3A5D73B9" w14:textId="4C887A98" w:rsidR="00740263" w:rsidRPr="00CF3DFF" w:rsidRDefault="00740263">
      <w:pPr>
        <w:pStyle w:val="Notedebasdepage"/>
        <w:rPr>
          <w:lang w:val="fr-FR"/>
        </w:rPr>
      </w:pPr>
      <w:r>
        <w:rPr>
          <w:rStyle w:val="Marquenotebasdepage"/>
        </w:rPr>
        <w:footnoteRef/>
      </w:r>
      <w:r>
        <w:t xml:space="preserve"> </w:t>
      </w:r>
      <w:r>
        <w:rPr>
          <w:lang w:val="fr-FR"/>
        </w:rPr>
        <w:t xml:space="preserve">Dans les versions ultérieures du code, sera remplacé par le terme frontière proche </w:t>
      </w:r>
      <w:proofErr w:type="spellStart"/>
      <w:r w:rsidRPr="00CF3DFF">
        <w:rPr>
          <w:rFonts w:hint="eastAsia"/>
          <w:lang w:val="fr-FR"/>
        </w:rPr>
        <w:t>近邊</w:t>
      </w:r>
      <w:proofErr w:type="spellEnd"/>
      <w:r>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E0"/>
    <w:rsid w:val="00001EB8"/>
    <w:rsid w:val="00033F77"/>
    <w:rsid w:val="00055EFE"/>
    <w:rsid w:val="00097C1B"/>
    <w:rsid w:val="00165E25"/>
    <w:rsid w:val="002608A6"/>
    <w:rsid w:val="0027784E"/>
    <w:rsid w:val="003B18AD"/>
    <w:rsid w:val="003C0570"/>
    <w:rsid w:val="003C2F2C"/>
    <w:rsid w:val="003D1F45"/>
    <w:rsid w:val="00453AA8"/>
    <w:rsid w:val="004F6150"/>
    <w:rsid w:val="0051052C"/>
    <w:rsid w:val="005752CC"/>
    <w:rsid w:val="005A3AE0"/>
    <w:rsid w:val="00693C77"/>
    <w:rsid w:val="006A6058"/>
    <w:rsid w:val="00740263"/>
    <w:rsid w:val="007D3D38"/>
    <w:rsid w:val="008C4700"/>
    <w:rsid w:val="008D7E96"/>
    <w:rsid w:val="009E50E1"/>
    <w:rsid w:val="00A106EB"/>
    <w:rsid w:val="00A16395"/>
    <w:rsid w:val="00A31F47"/>
    <w:rsid w:val="00A65A98"/>
    <w:rsid w:val="00AD4087"/>
    <w:rsid w:val="00C47DD4"/>
    <w:rsid w:val="00C92C2C"/>
    <w:rsid w:val="00CB7EE2"/>
    <w:rsid w:val="00CD3F43"/>
    <w:rsid w:val="00CF3DFF"/>
    <w:rsid w:val="00D0799D"/>
    <w:rsid w:val="00D306BF"/>
    <w:rsid w:val="00D357DD"/>
    <w:rsid w:val="00D73386"/>
    <w:rsid w:val="00E02347"/>
    <w:rsid w:val="00E93AF9"/>
    <w:rsid w:val="00E943ED"/>
    <w:rsid w:val="00EA2EA4"/>
    <w:rsid w:val="00EA4722"/>
    <w:rsid w:val="00F556C6"/>
    <w:rsid w:val="00FA7F9A"/>
    <w:rsid w:val="00FB1126"/>
    <w:rsid w:val="00FD7C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BC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52CC"/>
    <w:pPr>
      <w:spacing w:before="100" w:beforeAutospacing="1" w:after="100" w:afterAutospacing="1"/>
    </w:pPr>
    <w:rPr>
      <w:rFonts w:ascii="Times" w:hAnsi="Times" w:cs="Times New Roman"/>
      <w:sz w:val="20"/>
      <w:szCs w:val="20"/>
      <w:lang w:val="fr-FR"/>
    </w:rPr>
  </w:style>
  <w:style w:type="character" w:styleId="Lienhypertexte">
    <w:name w:val="Hyperlink"/>
    <w:basedOn w:val="Policepardfaut"/>
    <w:uiPriority w:val="99"/>
    <w:unhideWhenUsed/>
    <w:rsid w:val="005752CC"/>
    <w:rPr>
      <w:color w:val="0000FF"/>
      <w:u w:val="single"/>
    </w:rPr>
  </w:style>
  <w:style w:type="paragraph" w:styleId="Notedebasdepage">
    <w:name w:val="footnote text"/>
    <w:basedOn w:val="Normal"/>
    <w:link w:val="NotedebasdepageCar"/>
    <w:uiPriority w:val="99"/>
    <w:unhideWhenUsed/>
    <w:rsid w:val="00097C1B"/>
  </w:style>
  <w:style w:type="character" w:customStyle="1" w:styleId="NotedebasdepageCar">
    <w:name w:val="Note de bas de page Car"/>
    <w:basedOn w:val="Policepardfaut"/>
    <w:link w:val="Notedebasdepage"/>
    <w:uiPriority w:val="99"/>
    <w:rsid w:val="00097C1B"/>
    <w:rPr>
      <w:lang w:val="en-GB"/>
    </w:rPr>
  </w:style>
  <w:style w:type="character" w:styleId="Marquenotebasdepage">
    <w:name w:val="footnote reference"/>
    <w:basedOn w:val="Policepardfaut"/>
    <w:uiPriority w:val="99"/>
    <w:unhideWhenUsed/>
    <w:rsid w:val="00097C1B"/>
    <w:rPr>
      <w:vertAlign w:val="superscript"/>
    </w:rPr>
  </w:style>
  <w:style w:type="character" w:styleId="Marquedannotation">
    <w:name w:val="annotation reference"/>
    <w:basedOn w:val="Policepardfaut"/>
    <w:uiPriority w:val="99"/>
    <w:semiHidden/>
    <w:unhideWhenUsed/>
    <w:rsid w:val="00693C77"/>
    <w:rPr>
      <w:sz w:val="18"/>
      <w:szCs w:val="18"/>
    </w:rPr>
  </w:style>
  <w:style w:type="paragraph" w:styleId="Commentaire">
    <w:name w:val="annotation text"/>
    <w:basedOn w:val="Normal"/>
    <w:link w:val="CommentaireCar"/>
    <w:uiPriority w:val="99"/>
    <w:semiHidden/>
    <w:unhideWhenUsed/>
    <w:rsid w:val="00693C77"/>
  </w:style>
  <w:style w:type="character" w:customStyle="1" w:styleId="CommentaireCar">
    <w:name w:val="Commentaire Car"/>
    <w:basedOn w:val="Policepardfaut"/>
    <w:link w:val="Commentaire"/>
    <w:uiPriority w:val="99"/>
    <w:semiHidden/>
    <w:rsid w:val="00693C77"/>
    <w:rPr>
      <w:lang w:val="en-GB"/>
    </w:rPr>
  </w:style>
  <w:style w:type="paragraph" w:styleId="Objetducommentaire">
    <w:name w:val="annotation subject"/>
    <w:basedOn w:val="Commentaire"/>
    <w:next w:val="Commentaire"/>
    <w:link w:val="ObjetducommentaireCar"/>
    <w:uiPriority w:val="99"/>
    <w:semiHidden/>
    <w:unhideWhenUsed/>
    <w:rsid w:val="00693C77"/>
    <w:rPr>
      <w:b/>
      <w:bCs/>
      <w:sz w:val="20"/>
      <w:szCs w:val="20"/>
    </w:rPr>
  </w:style>
  <w:style w:type="character" w:customStyle="1" w:styleId="ObjetducommentaireCar">
    <w:name w:val="Objet du commentaire Car"/>
    <w:basedOn w:val="CommentaireCar"/>
    <w:link w:val="Objetducommentaire"/>
    <w:uiPriority w:val="99"/>
    <w:semiHidden/>
    <w:rsid w:val="00693C77"/>
    <w:rPr>
      <w:b/>
      <w:bCs/>
      <w:sz w:val="20"/>
      <w:szCs w:val="20"/>
      <w:lang w:val="en-GB"/>
    </w:rPr>
  </w:style>
  <w:style w:type="paragraph" w:styleId="Textedebulles">
    <w:name w:val="Balloon Text"/>
    <w:basedOn w:val="Normal"/>
    <w:link w:val="TextedebullesCar"/>
    <w:uiPriority w:val="99"/>
    <w:semiHidden/>
    <w:unhideWhenUsed/>
    <w:rsid w:val="00693C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C7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52CC"/>
    <w:pPr>
      <w:spacing w:before="100" w:beforeAutospacing="1" w:after="100" w:afterAutospacing="1"/>
    </w:pPr>
    <w:rPr>
      <w:rFonts w:ascii="Times" w:hAnsi="Times" w:cs="Times New Roman"/>
      <w:sz w:val="20"/>
      <w:szCs w:val="20"/>
      <w:lang w:val="fr-FR"/>
    </w:rPr>
  </w:style>
  <w:style w:type="character" w:styleId="Lienhypertexte">
    <w:name w:val="Hyperlink"/>
    <w:basedOn w:val="Policepardfaut"/>
    <w:uiPriority w:val="99"/>
    <w:unhideWhenUsed/>
    <w:rsid w:val="005752CC"/>
    <w:rPr>
      <w:color w:val="0000FF"/>
      <w:u w:val="single"/>
    </w:rPr>
  </w:style>
  <w:style w:type="paragraph" w:styleId="Notedebasdepage">
    <w:name w:val="footnote text"/>
    <w:basedOn w:val="Normal"/>
    <w:link w:val="NotedebasdepageCar"/>
    <w:uiPriority w:val="99"/>
    <w:unhideWhenUsed/>
    <w:rsid w:val="00097C1B"/>
  </w:style>
  <w:style w:type="character" w:customStyle="1" w:styleId="NotedebasdepageCar">
    <w:name w:val="Note de bas de page Car"/>
    <w:basedOn w:val="Policepardfaut"/>
    <w:link w:val="Notedebasdepage"/>
    <w:uiPriority w:val="99"/>
    <w:rsid w:val="00097C1B"/>
    <w:rPr>
      <w:lang w:val="en-GB"/>
    </w:rPr>
  </w:style>
  <w:style w:type="character" w:styleId="Marquenotebasdepage">
    <w:name w:val="footnote reference"/>
    <w:basedOn w:val="Policepardfaut"/>
    <w:uiPriority w:val="99"/>
    <w:unhideWhenUsed/>
    <w:rsid w:val="00097C1B"/>
    <w:rPr>
      <w:vertAlign w:val="superscript"/>
    </w:rPr>
  </w:style>
  <w:style w:type="character" w:styleId="Marquedannotation">
    <w:name w:val="annotation reference"/>
    <w:basedOn w:val="Policepardfaut"/>
    <w:uiPriority w:val="99"/>
    <w:semiHidden/>
    <w:unhideWhenUsed/>
    <w:rsid w:val="00693C77"/>
    <w:rPr>
      <w:sz w:val="18"/>
      <w:szCs w:val="18"/>
    </w:rPr>
  </w:style>
  <w:style w:type="paragraph" w:styleId="Commentaire">
    <w:name w:val="annotation text"/>
    <w:basedOn w:val="Normal"/>
    <w:link w:val="CommentaireCar"/>
    <w:uiPriority w:val="99"/>
    <w:semiHidden/>
    <w:unhideWhenUsed/>
    <w:rsid w:val="00693C77"/>
  </w:style>
  <w:style w:type="character" w:customStyle="1" w:styleId="CommentaireCar">
    <w:name w:val="Commentaire Car"/>
    <w:basedOn w:val="Policepardfaut"/>
    <w:link w:val="Commentaire"/>
    <w:uiPriority w:val="99"/>
    <w:semiHidden/>
    <w:rsid w:val="00693C77"/>
    <w:rPr>
      <w:lang w:val="en-GB"/>
    </w:rPr>
  </w:style>
  <w:style w:type="paragraph" w:styleId="Objetducommentaire">
    <w:name w:val="annotation subject"/>
    <w:basedOn w:val="Commentaire"/>
    <w:next w:val="Commentaire"/>
    <w:link w:val="ObjetducommentaireCar"/>
    <w:uiPriority w:val="99"/>
    <w:semiHidden/>
    <w:unhideWhenUsed/>
    <w:rsid w:val="00693C77"/>
    <w:rPr>
      <w:b/>
      <w:bCs/>
      <w:sz w:val="20"/>
      <w:szCs w:val="20"/>
    </w:rPr>
  </w:style>
  <w:style w:type="character" w:customStyle="1" w:styleId="ObjetducommentaireCar">
    <w:name w:val="Objet du commentaire Car"/>
    <w:basedOn w:val="CommentaireCar"/>
    <w:link w:val="Objetducommentaire"/>
    <w:uiPriority w:val="99"/>
    <w:semiHidden/>
    <w:rsid w:val="00693C77"/>
    <w:rPr>
      <w:b/>
      <w:bCs/>
      <w:sz w:val="20"/>
      <w:szCs w:val="20"/>
      <w:lang w:val="en-GB"/>
    </w:rPr>
  </w:style>
  <w:style w:type="paragraph" w:styleId="Textedebulles">
    <w:name w:val="Balloon Text"/>
    <w:basedOn w:val="Normal"/>
    <w:link w:val="TextedebullesCar"/>
    <w:uiPriority w:val="99"/>
    <w:semiHidden/>
    <w:unhideWhenUsed/>
    <w:rsid w:val="00693C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C7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0463">
      <w:bodyDiv w:val="1"/>
      <w:marLeft w:val="0"/>
      <w:marRight w:val="0"/>
      <w:marTop w:val="0"/>
      <w:marBottom w:val="0"/>
      <w:divBdr>
        <w:top w:val="none" w:sz="0" w:space="0" w:color="auto"/>
        <w:left w:val="none" w:sz="0" w:space="0" w:color="auto"/>
        <w:bottom w:val="none" w:sz="0" w:space="0" w:color="auto"/>
        <w:right w:val="none" w:sz="0" w:space="0" w:color="auto"/>
      </w:divBdr>
      <w:divsChild>
        <w:div w:id="1806704045">
          <w:marLeft w:val="0"/>
          <w:marRight w:val="0"/>
          <w:marTop w:val="45"/>
          <w:marBottom w:val="0"/>
          <w:divBdr>
            <w:top w:val="none" w:sz="0" w:space="0" w:color="auto"/>
            <w:left w:val="none" w:sz="0" w:space="0" w:color="auto"/>
            <w:bottom w:val="none" w:sz="0" w:space="0" w:color="auto"/>
            <w:right w:val="none" w:sz="0" w:space="0" w:color="auto"/>
          </w:divBdr>
        </w:div>
      </w:divsChild>
    </w:div>
    <w:div w:id="970328139">
      <w:bodyDiv w:val="1"/>
      <w:marLeft w:val="0"/>
      <w:marRight w:val="0"/>
      <w:marTop w:val="0"/>
      <w:marBottom w:val="0"/>
      <w:divBdr>
        <w:top w:val="none" w:sz="0" w:space="0" w:color="auto"/>
        <w:left w:val="none" w:sz="0" w:space="0" w:color="auto"/>
        <w:bottom w:val="none" w:sz="0" w:space="0" w:color="auto"/>
        <w:right w:val="none" w:sz="0" w:space="0" w:color="auto"/>
      </w:divBdr>
      <w:divsChild>
        <w:div w:id="1933934285">
          <w:marLeft w:val="0"/>
          <w:marRight w:val="0"/>
          <w:marTop w:val="45"/>
          <w:marBottom w:val="0"/>
          <w:divBdr>
            <w:top w:val="none" w:sz="0" w:space="0" w:color="auto"/>
            <w:left w:val="none" w:sz="0" w:space="0" w:color="auto"/>
            <w:bottom w:val="none" w:sz="0" w:space="0" w:color="auto"/>
            <w:right w:val="none" w:sz="0" w:space="0" w:color="auto"/>
          </w:divBdr>
        </w:div>
      </w:divsChild>
    </w:div>
    <w:div w:id="1225293655">
      <w:bodyDiv w:val="1"/>
      <w:marLeft w:val="0"/>
      <w:marRight w:val="0"/>
      <w:marTop w:val="0"/>
      <w:marBottom w:val="0"/>
      <w:divBdr>
        <w:top w:val="none" w:sz="0" w:space="0" w:color="auto"/>
        <w:left w:val="none" w:sz="0" w:space="0" w:color="auto"/>
        <w:bottom w:val="none" w:sz="0" w:space="0" w:color="auto"/>
        <w:right w:val="none" w:sz="0" w:space="0" w:color="auto"/>
      </w:divBdr>
      <w:divsChild>
        <w:div w:id="2073842916">
          <w:marLeft w:val="300"/>
          <w:marRight w:val="0"/>
          <w:marTop w:val="45"/>
          <w:marBottom w:val="0"/>
          <w:divBdr>
            <w:top w:val="none" w:sz="0" w:space="0" w:color="auto"/>
            <w:left w:val="none" w:sz="0" w:space="0" w:color="auto"/>
            <w:bottom w:val="none" w:sz="0" w:space="0" w:color="auto"/>
            <w:right w:val="none" w:sz="0" w:space="0" w:color="auto"/>
          </w:divBdr>
        </w:div>
      </w:divsChild>
    </w:div>
    <w:div w:id="1486431177">
      <w:bodyDiv w:val="1"/>
      <w:marLeft w:val="0"/>
      <w:marRight w:val="0"/>
      <w:marTop w:val="0"/>
      <w:marBottom w:val="0"/>
      <w:divBdr>
        <w:top w:val="none" w:sz="0" w:space="0" w:color="auto"/>
        <w:left w:val="none" w:sz="0" w:space="0" w:color="auto"/>
        <w:bottom w:val="none" w:sz="0" w:space="0" w:color="auto"/>
        <w:right w:val="none" w:sz="0" w:space="0" w:color="auto"/>
      </w:divBdr>
      <w:divsChild>
        <w:div w:id="336660309">
          <w:marLeft w:val="300"/>
          <w:marRight w:val="0"/>
          <w:marTop w:val="45"/>
          <w:marBottom w:val="0"/>
          <w:divBdr>
            <w:top w:val="none" w:sz="0" w:space="0" w:color="auto"/>
            <w:left w:val="none" w:sz="0" w:space="0" w:color="auto"/>
            <w:bottom w:val="none" w:sz="0" w:space="0" w:color="auto"/>
            <w:right w:val="none" w:sz="0" w:space="0" w:color="auto"/>
          </w:divBdr>
        </w:div>
      </w:divsChild>
    </w:div>
    <w:div w:id="1727070877">
      <w:bodyDiv w:val="1"/>
      <w:marLeft w:val="0"/>
      <w:marRight w:val="0"/>
      <w:marTop w:val="0"/>
      <w:marBottom w:val="0"/>
      <w:divBdr>
        <w:top w:val="none" w:sz="0" w:space="0" w:color="auto"/>
        <w:left w:val="none" w:sz="0" w:space="0" w:color="auto"/>
        <w:bottom w:val="none" w:sz="0" w:space="0" w:color="auto"/>
        <w:right w:val="none" w:sz="0" w:space="0" w:color="auto"/>
      </w:divBdr>
      <w:divsChild>
        <w:div w:id="425468462">
          <w:marLeft w:val="300"/>
          <w:marRight w:val="0"/>
          <w:marTop w:val="45"/>
          <w:marBottom w:val="0"/>
          <w:divBdr>
            <w:top w:val="none" w:sz="0" w:space="0" w:color="auto"/>
            <w:left w:val="none" w:sz="0" w:space="0" w:color="auto"/>
            <w:bottom w:val="none" w:sz="0" w:space="0" w:color="auto"/>
            <w:right w:val="none" w:sz="0" w:space="0" w:color="auto"/>
          </w:divBdr>
        </w:div>
        <w:div w:id="1509783280">
          <w:marLeft w:val="300"/>
          <w:marRight w:val="0"/>
          <w:marTop w:val="45"/>
          <w:marBottom w:val="0"/>
          <w:divBdr>
            <w:top w:val="none" w:sz="0" w:space="0" w:color="auto"/>
            <w:left w:val="none" w:sz="0" w:space="0" w:color="auto"/>
            <w:bottom w:val="none" w:sz="0" w:space="0" w:color="auto"/>
            <w:right w:val="none" w:sz="0" w:space="0" w:color="auto"/>
          </w:divBdr>
        </w:div>
        <w:div w:id="106510759">
          <w:marLeft w:val="300"/>
          <w:marRight w:val="0"/>
          <w:marTop w:val="45"/>
          <w:marBottom w:val="0"/>
          <w:divBdr>
            <w:top w:val="none" w:sz="0" w:space="0" w:color="auto"/>
            <w:left w:val="none" w:sz="0" w:space="0" w:color="auto"/>
            <w:bottom w:val="none" w:sz="0" w:space="0" w:color="auto"/>
            <w:right w:val="none" w:sz="0" w:space="0" w:color="auto"/>
          </w:divBdr>
        </w:div>
      </w:divsChild>
    </w:div>
    <w:div w:id="1859851072">
      <w:bodyDiv w:val="1"/>
      <w:marLeft w:val="0"/>
      <w:marRight w:val="0"/>
      <w:marTop w:val="0"/>
      <w:marBottom w:val="0"/>
      <w:divBdr>
        <w:top w:val="none" w:sz="0" w:space="0" w:color="auto"/>
        <w:left w:val="none" w:sz="0" w:space="0" w:color="auto"/>
        <w:bottom w:val="none" w:sz="0" w:space="0" w:color="auto"/>
        <w:right w:val="none" w:sz="0" w:space="0" w:color="auto"/>
      </w:divBdr>
      <w:divsChild>
        <w:div w:id="570508946">
          <w:marLeft w:val="300"/>
          <w:marRight w:val="0"/>
          <w:marTop w:val="45"/>
          <w:marBottom w:val="0"/>
          <w:divBdr>
            <w:top w:val="none" w:sz="0" w:space="0" w:color="auto"/>
            <w:left w:val="none" w:sz="0" w:space="0" w:color="auto"/>
            <w:bottom w:val="none" w:sz="0" w:space="0" w:color="auto"/>
            <w:right w:val="none" w:sz="0" w:space="0" w:color="auto"/>
          </w:divBdr>
        </w:div>
        <w:div w:id="1499151394">
          <w:marLeft w:val="300"/>
          <w:marRight w:val="0"/>
          <w:marTop w:val="45"/>
          <w:marBottom w:val="0"/>
          <w:divBdr>
            <w:top w:val="none" w:sz="0" w:space="0" w:color="auto"/>
            <w:left w:val="none" w:sz="0" w:space="0" w:color="auto"/>
            <w:bottom w:val="none" w:sz="0" w:space="0" w:color="auto"/>
            <w:right w:val="none" w:sz="0" w:space="0" w:color="auto"/>
          </w:divBdr>
        </w:div>
        <w:div w:id="26103186">
          <w:marLeft w:val="300"/>
          <w:marRight w:val="0"/>
          <w:marTop w:val="4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4435</Characters>
  <Application>Microsoft Macintosh Word</Application>
  <DocSecurity>0</DocSecurity>
  <Lines>36</Lines>
  <Paragraphs>10</Paragraphs>
  <ScaleCrop>false</ScaleCrop>
  <Company>ENS de Lyon</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 ...</cp:lastModifiedBy>
  <cp:revision>2</cp:revision>
  <dcterms:created xsi:type="dcterms:W3CDTF">2014-11-19T22:14:00Z</dcterms:created>
  <dcterms:modified xsi:type="dcterms:W3CDTF">2014-11-19T22:14:00Z</dcterms:modified>
</cp:coreProperties>
</file>