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E79A4" w:rsidRDefault="006E79A4">
      <w:pPr>
        <w:rPr>
          <w:rFonts w:ascii="新細明體" w:hAnsi="新細明體"/>
          <w:b/>
          <w:sz w:val="28"/>
        </w:rPr>
      </w:pPr>
    </w:p>
    <w:p w:rsidR="006E79A4" w:rsidRDefault="006E79A4">
      <w:pPr>
        <w:rPr>
          <w:rFonts w:ascii="新細明體" w:hAnsi="新細明體" w:hint="eastAsia"/>
          <w:b/>
          <w:sz w:val="28"/>
        </w:rPr>
      </w:pPr>
      <w:proofErr w:type="spellStart"/>
      <w:r w:rsidRPr="006E79A4">
        <w:rPr>
          <w:rFonts w:ascii="新細明體" w:hAnsi="新細明體"/>
          <w:b/>
          <w:i/>
          <w:sz w:val="28"/>
        </w:rPr>
        <w:t>Duli</w:t>
      </w:r>
      <w:proofErr w:type="spellEnd"/>
      <w:r w:rsidRPr="006E79A4">
        <w:rPr>
          <w:rFonts w:ascii="新細明體" w:hAnsi="新細明體"/>
          <w:b/>
          <w:i/>
          <w:sz w:val="28"/>
        </w:rPr>
        <w:t xml:space="preserve"> </w:t>
      </w:r>
      <w:proofErr w:type="spellStart"/>
      <w:r w:rsidRPr="006E79A4">
        <w:rPr>
          <w:rFonts w:ascii="新細明體" w:hAnsi="新細明體"/>
          <w:b/>
          <w:i/>
          <w:sz w:val="28"/>
        </w:rPr>
        <w:t>cunyi</w:t>
      </w:r>
      <w:proofErr w:type="spellEnd"/>
      <w:r>
        <w:rPr>
          <w:rFonts w:ascii="新細明體" w:hAnsi="新細明體"/>
          <w:b/>
          <w:i/>
          <w:sz w:val="28"/>
        </w:rPr>
        <w:t xml:space="preserve"> </w:t>
      </w:r>
      <w:r>
        <w:rPr>
          <w:rFonts w:ascii="新細明體" w:hAnsi="新細明體" w:hint="eastAsia"/>
          <w:b/>
          <w:sz w:val="28"/>
        </w:rPr>
        <w:t xml:space="preserve">讀例存疑 </w:t>
      </w:r>
      <w:hyperlink r:id="rId4" w:history="1">
        <w:r w:rsidRPr="00B154B3">
          <w:rPr>
            <w:rStyle w:val="Lienhypertexte"/>
            <w:rFonts w:ascii="新細明體" w:hAnsi="新細明體"/>
            <w:b/>
            <w:sz w:val="28"/>
          </w:rPr>
          <w:t>http://www.terada.law.kyoto-u.ac.jp/dlcy/</w:t>
        </w:r>
      </w:hyperlink>
      <w:r>
        <w:rPr>
          <w:rFonts w:ascii="新細明體" w:hAnsi="新細明體" w:hint="eastAsia"/>
          <w:b/>
          <w:sz w:val="28"/>
        </w:rPr>
        <w:t xml:space="preserve"> </w:t>
      </w:r>
    </w:p>
    <w:p w:rsidR="00586DF7" w:rsidRDefault="00586DF7">
      <w:pPr>
        <w:rPr>
          <w:rFonts w:ascii="新細明體" w:hAnsi="新細明體" w:cs="新細明體"/>
          <w:sz w:val="28"/>
        </w:rPr>
      </w:pPr>
      <w:r>
        <w:rPr>
          <w:rFonts w:ascii="新細明體" w:hAnsi="新細明體" w:cs="新細明體" w:hint="eastAsia"/>
          <w:sz w:val="28"/>
        </w:rPr>
        <w:t>斷罪引律令</w:t>
      </w:r>
      <w:r w:rsidR="00A7194E" w:rsidRPr="00A7194E">
        <w:rPr>
          <w:rFonts w:ascii="新細明體" w:hAnsi="新細明體" w:cs="新細明體" w:hint="eastAsia"/>
          <w:sz w:val="28"/>
        </w:rPr>
        <w:t>：</w:t>
      </w:r>
    </w:p>
    <w:p w:rsidR="00586DF7" w:rsidRPr="00586DF7" w:rsidRDefault="00A7194E">
      <w:pPr>
        <w:rPr>
          <w:rFonts w:ascii="新細明體" w:hAnsi="新細明體" w:cs="新細明體"/>
          <w:color w:val="905050"/>
          <w:sz w:val="28"/>
        </w:rPr>
      </w:pPr>
      <w:r w:rsidRPr="00A7194E">
        <w:rPr>
          <w:rFonts w:ascii="新細明體" w:hAnsi="新細明體" w:cs="新細明體" w:hint="eastAsia"/>
          <w:sz w:val="28"/>
        </w:rPr>
        <w:t>凡</w:t>
      </w:r>
      <w:r w:rsidRPr="00A7194E">
        <w:rPr>
          <w:rFonts w:ascii="新細明體" w:hAnsi="新細明體" w:cs="新細明體" w:hint="eastAsia"/>
          <w:color w:val="905050"/>
          <w:sz w:val="28"/>
        </w:rPr>
        <w:t>（官司）</w:t>
      </w:r>
      <w:r w:rsidRPr="00A7194E">
        <w:rPr>
          <w:rFonts w:ascii="新細明體" w:hAnsi="新細明體" w:cs="新細明體" w:hint="eastAsia"/>
          <w:sz w:val="28"/>
        </w:rPr>
        <w:t>斷罪皆須具</w:t>
      </w:r>
      <w:r w:rsidRPr="00586DF7">
        <w:rPr>
          <w:rFonts w:ascii="新細明體" w:hAnsi="新細明體" w:cs="新細明體" w:hint="eastAsia"/>
          <w:b/>
          <w:i/>
          <w:sz w:val="28"/>
        </w:rPr>
        <w:t>引律例</w:t>
      </w:r>
      <w:r w:rsidRPr="00A7194E">
        <w:rPr>
          <w:rFonts w:ascii="新細明體" w:hAnsi="新細明體" w:cs="新細明體" w:hint="eastAsia"/>
          <w:sz w:val="28"/>
        </w:rPr>
        <w:t>，違者</w:t>
      </w:r>
      <w:r w:rsidRPr="00A7194E">
        <w:rPr>
          <w:rFonts w:ascii="新細明體" w:hAnsi="新細明體" w:cs="新細明體" w:hint="eastAsia"/>
          <w:color w:val="905050"/>
          <w:sz w:val="28"/>
        </w:rPr>
        <w:t>（如不具引）</w:t>
      </w:r>
      <w:r w:rsidRPr="00A7194E">
        <w:rPr>
          <w:rFonts w:ascii="新細明體" w:hAnsi="新細明體" w:cs="新細明體" w:hint="eastAsia"/>
          <w:sz w:val="28"/>
        </w:rPr>
        <w:t>笞三十。若</w:t>
      </w:r>
      <w:r w:rsidRPr="00A7194E">
        <w:rPr>
          <w:rFonts w:ascii="新細明體" w:hAnsi="新細明體" w:cs="新細明體" w:hint="eastAsia"/>
          <w:color w:val="905050"/>
          <w:sz w:val="28"/>
        </w:rPr>
        <w:t>（律有）</w:t>
      </w:r>
      <w:r w:rsidRPr="00A7194E">
        <w:rPr>
          <w:rFonts w:ascii="新細明體" w:hAnsi="新細明體" w:cs="新細明體" w:hint="eastAsia"/>
          <w:sz w:val="28"/>
        </w:rPr>
        <w:t>數事共</w:t>
      </w:r>
      <w:r w:rsidRPr="00A7194E">
        <w:rPr>
          <w:rFonts w:ascii="新細明體" w:hAnsi="新細明體" w:cs="新細明體" w:hint="eastAsia"/>
          <w:color w:val="905050"/>
          <w:sz w:val="28"/>
        </w:rPr>
        <w:t>（一）</w:t>
      </w:r>
      <w:r w:rsidRPr="00A7194E">
        <w:rPr>
          <w:rFonts w:ascii="新細明體" w:hAnsi="新細明體" w:cs="新細明體" w:hint="eastAsia"/>
          <w:sz w:val="28"/>
        </w:rPr>
        <w:t>條，</w:t>
      </w:r>
      <w:r w:rsidRPr="00A7194E">
        <w:rPr>
          <w:rFonts w:ascii="新細明體" w:hAnsi="新細明體" w:cs="新細明體" w:hint="eastAsia"/>
          <w:color w:val="905050"/>
          <w:sz w:val="28"/>
        </w:rPr>
        <w:t>（官司）</w:t>
      </w:r>
      <w:r w:rsidRPr="00A7194E">
        <w:rPr>
          <w:rFonts w:ascii="新細明體" w:hAnsi="新細明體" w:cs="新細明體" w:hint="eastAsia"/>
          <w:sz w:val="28"/>
        </w:rPr>
        <w:t>止引所犯</w:t>
      </w:r>
      <w:r w:rsidRPr="00A7194E">
        <w:rPr>
          <w:rFonts w:ascii="新細明體" w:hAnsi="新細明體" w:cs="新細明體" w:hint="eastAsia"/>
          <w:color w:val="905050"/>
          <w:sz w:val="28"/>
        </w:rPr>
        <w:t>（本）</w:t>
      </w:r>
      <w:r w:rsidRPr="00A7194E">
        <w:rPr>
          <w:rFonts w:ascii="新細明體" w:hAnsi="新細明體" w:cs="新細明體" w:hint="eastAsia"/>
          <w:sz w:val="28"/>
        </w:rPr>
        <w:t>罪者，聽。</w:t>
      </w:r>
      <w:r w:rsidRPr="00A7194E">
        <w:rPr>
          <w:rFonts w:ascii="新細明體" w:hAnsi="新細明體" w:cs="新細明體" w:hint="eastAsia"/>
          <w:color w:val="905050"/>
          <w:sz w:val="28"/>
        </w:rPr>
        <w:t>（所犯之罪止合一事，聽，其摘引一事以斷之。）</w:t>
      </w:r>
      <w:r w:rsidRPr="00A7194E">
        <w:rPr>
          <w:rFonts w:ascii="新細明體" w:hAnsi="新細明體" w:hint="eastAsia"/>
          <w:color w:val="606060"/>
          <w:sz w:val="28"/>
        </w:rPr>
        <w:t>○</w:t>
      </w:r>
      <w:r w:rsidRPr="00A7194E">
        <w:rPr>
          <w:rFonts w:ascii="新細明體" w:hAnsi="新細明體" w:cs="新細明體" w:hint="eastAsia"/>
          <w:sz w:val="28"/>
        </w:rPr>
        <w:t>其特旨斷罪，臨時處治，不為定律者，不得引比為律。若輒引</w:t>
      </w:r>
      <w:r w:rsidRPr="00A7194E">
        <w:rPr>
          <w:rFonts w:ascii="新細明體" w:hAnsi="新細明體" w:cs="新細明體" w:hint="eastAsia"/>
          <w:color w:val="905050"/>
          <w:sz w:val="28"/>
        </w:rPr>
        <w:t>（比）</w:t>
      </w:r>
      <w:r w:rsidRPr="00A7194E">
        <w:rPr>
          <w:rFonts w:ascii="新細明體" w:hAnsi="新細明體" w:cs="新細明體" w:hint="eastAsia"/>
          <w:sz w:val="28"/>
        </w:rPr>
        <w:t>致斷罪有出入者，以故失論。</w:t>
      </w:r>
      <w:r w:rsidRPr="00A7194E">
        <w:rPr>
          <w:rFonts w:ascii="新細明體" w:hAnsi="新細明體" w:cs="新細明體" w:hint="eastAsia"/>
          <w:color w:val="905050"/>
          <w:sz w:val="28"/>
        </w:rPr>
        <w:t>（故行引比者，以故出入人全罪，及所増減坐之。失於引比者，以失出入人罪，減等坐之。）</w:t>
      </w:r>
      <w:r w:rsidRPr="00A7194E">
        <w:rPr>
          <w:rFonts w:ascii="新細明體" w:hAnsi="新細明體" w:cs="新細明體" w:hint="eastAsia"/>
          <w:sz w:val="28"/>
        </w:rPr>
        <w:t>。</w:t>
      </w:r>
      <w:r w:rsidRPr="00A7194E">
        <w:rPr>
          <w:rFonts w:ascii="新細明體" w:hAnsi="新細明體" w:hint="eastAsia"/>
          <w:sz w:val="28"/>
        </w:rPr>
        <w:t xml:space="preserve"> </w:t>
      </w:r>
    </w:p>
    <w:p w:rsidR="00586DF7" w:rsidRDefault="00A7194E">
      <w:pPr>
        <w:rPr>
          <w:rFonts w:ascii="新細明體" w:hAnsi="新細明體"/>
          <w:sz w:val="28"/>
        </w:rPr>
      </w:pPr>
      <w:r w:rsidRPr="00A7194E">
        <w:rPr>
          <w:rFonts w:ascii="新細明體" w:hAnsi="新細明體" w:cs="新細明體" w:hint="eastAsia"/>
          <w:sz w:val="28"/>
        </w:rPr>
        <w:t>此仍</w:t>
      </w:r>
      <w:r w:rsidRPr="00A7194E">
        <w:rPr>
          <w:rFonts w:ascii="新細明體" w:hAnsi="新細明體" w:cs="新細明體" w:hint="eastAsia"/>
          <w:color w:val="8B0000"/>
          <w:sz w:val="28"/>
        </w:rPr>
        <w:t>明律</w:t>
      </w:r>
      <w:r w:rsidRPr="00A7194E">
        <w:rPr>
          <w:rFonts w:ascii="新細明體" w:hAnsi="新細明體" w:cs="新細明體" w:hint="eastAsia"/>
          <w:sz w:val="28"/>
        </w:rPr>
        <w:t>，</w:t>
      </w:r>
      <w:r w:rsidRPr="00A7194E">
        <w:rPr>
          <w:rFonts w:ascii="新細明體" w:hAnsi="新細明體" w:cs="新細明體" w:hint="eastAsia"/>
          <w:color w:val="8B0000"/>
          <w:sz w:val="28"/>
        </w:rPr>
        <w:t>順治三年</w:t>
      </w:r>
      <w:r w:rsidRPr="00A7194E">
        <w:rPr>
          <w:rFonts w:ascii="新細明體" w:hAnsi="新細明體" w:cs="新細明體" w:hint="eastAsia"/>
          <w:sz w:val="28"/>
        </w:rPr>
        <w:t>，添入小註。</w:t>
      </w:r>
      <w:r w:rsidRPr="00A7194E">
        <w:rPr>
          <w:rFonts w:ascii="新細明體" w:hAnsi="新細明體" w:hint="eastAsia"/>
          <w:sz w:val="28"/>
        </w:rPr>
        <w:t xml:space="preserve"> </w:t>
      </w:r>
    </w:p>
    <w:p w:rsidR="00586DF7" w:rsidRPr="00586DF7" w:rsidRDefault="00586DF7">
      <w:pPr>
        <w:rPr>
          <w:rFonts w:ascii="新細明體" w:hAnsi="新細明體"/>
          <w:b/>
          <w:sz w:val="28"/>
        </w:rPr>
      </w:pPr>
    </w:p>
    <w:p w:rsidR="00586DF7" w:rsidRPr="00586DF7" w:rsidRDefault="00A7194E">
      <w:pPr>
        <w:rPr>
          <w:rFonts w:ascii="新細明體" w:hAnsi="新細明體" w:cs="新細明體"/>
          <w:b/>
          <w:sz w:val="28"/>
        </w:rPr>
      </w:pPr>
      <w:r w:rsidRPr="00586DF7">
        <w:rPr>
          <w:rFonts w:ascii="新細明體" w:hAnsi="新細明體" w:cs="新細明體" w:hint="eastAsia"/>
          <w:b/>
          <w:sz w:val="28"/>
        </w:rPr>
        <w:t>條例</w:t>
      </w:r>
    </w:p>
    <w:p w:rsidR="00C86F05" w:rsidRDefault="00A7194E">
      <w:pPr>
        <w:rPr>
          <w:rFonts w:ascii="新細明體" w:hAnsi="新細明體"/>
          <w:sz w:val="28"/>
        </w:rPr>
      </w:pPr>
      <w:r w:rsidRPr="00A7194E">
        <w:rPr>
          <w:rFonts w:ascii="新細明體" w:hAnsi="新細明體" w:hint="eastAsia"/>
          <w:sz w:val="28"/>
        </w:rPr>
        <w:t xml:space="preserve"> </w:t>
      </w:r>
      <w:bookmarkStart w:id="0" w:name="斷罪引律令01"/>
      <w:bookmarkEnd w:id="0"/>
      <w:r w:rsidR="00BF2286" w:rsidRPr="00A7194E">
        <w:rPr>
          <w:rFonts w:ascii="新細明體" w:hAnsi="新細明體" w:hint="eastAsia"/>
          <w:sz w:val="28"/>
        </w:rPr>
        <w:fldChar w:fldCharType="begin"/>
      </w:r>
      <w:r w:rsidRPr="00A7194E">
        <w:rPr>
          <w:rFonts w:ascii="新細明體" w:hAnsi="新細明體" w:hint="eastAsia"/>
          <w:sz w:val="28"/>
        </w:rPr>
        <w:instrText xml:space="preserve"> </w:instrText>
      </w:r>
      <w:r w:rsidR="005E4EC1">
        <w:rPr>
          <w:rFonts w:ascii="新細明體" w:hAnsi="新細明體" w:hint="eastAsia"/>
          <w:sz w:val="28"/>
        </w:rPr>
        <w:instrText>HYPERLINK</w:instrText>
      </w:r>
      <w:r w:rsidRPr="00A7194E">
        <w:rPr>
          <w:rFonts w:ascii="新細明體" w:hAnsi="新細明體" w:hint="eastAsia"/>
          <w:sz w:val="28"/>
        </w:rPr>
        <w:instrText xml:space="preserve"> "http://www.terada.law.kyoto-u.ac.jp/dlcy/dlcy49eu.htm" \l "%E6%96%B7%E7%BD%AA%E5%BC%95%E5%BE%8B%E4%BB%A4" </w:instrText>
      </w:r>
      <w:r w:rsidR="00BF2286" w:rsidRPr="00A7194E">
        <w:rPr>
          <w:rFonts w:ascii="新細明體" w:hAnsi="新細明體" w:hint="eastAsia"/>
          <w:sz w:val="28"/>
        </w:rPr>
        <w:fldChar w:fldCharType="separate"/>
      </w:r>
      <w:r w:rsidRPr="00A7194E">
        <w:rPr>
          <w:rStyle w:val="Lienhypertexte"/>
          <w:rFonts w:ascii="新細明體" w:hAnsi="新細明體" w:cs="新細明體" w:hint="eastAsia"/>
          <w:color w:val="606020"/>
          <w:sz w:val="28"/>
        </w:rPr>
        <w:t>斷罪引律令</w:t>
      </w:r>
      <w:r w:rsidRPr="00A7194E">
        <w:rPr>
          <w:rStyle w:val="Lienhypertexte"/>
          <w:rFonts w:ascii="新細明體" w:hAnsi="新細明體" w:hint="eastAsia"/>
          <w:color w:val="606020"/>
          <w:sz w:val="28"/>
        </w:rPr>
        <w:t>-01</w:t>
      </w:r>
      <w:r w:rsidR="00BF2286" w:rsidRPr="00A7194E">
        <w:rPr>
          <w:rFonts w:ascii="新細明體" w:hAnsi="新細明體" w:hint="eastAsia"/>
          <w:sz w:val="28"/>
        </w:rPr>
        <w:fldChar w:fldCharType="end"/>
      </w:r>
      <w:r w:rsidR="00586DF7">
        <w:rPr>
          <w:rFonts w:ascii="新細明體" w:hAnsi="新細明體" w:cs="新細明體" w:hint="eastAsia"/>
          <w:sz w:val="28"/>
        </w:rPr>
        <w:t xml:space="preserve"> </w:t>
      </w:r>
      <w:r w:rsidRPr="00A7194E">
        <w:rPr>
          <w:rFonts w:ascii="新細明體" w:hAnsi="新細明體" w:hint="eastAsia"/>
          <w:sz w:val="28"/>
        </w:rPr>
        <w:t xml:space="preserve"> </w:t>
      </w:r>
      <w:r w:rsidRPr="00A7194E">
        <w:rPr>
          <w:rFonts w:ascii="新細明體" w:hAnsi="新細明體" w:cs="新細明體" w:hint="eastAsia"/>
          <w:sz w:val="28"/>
        </w:rPr>
        <w:t>一，承問各官審明定案，務須援引一定律例，若先引一例，復云不便照此例治罪，更引重例，及加情罪可惡字樣，坐人罪者，以故入人罪論。</w:t>
      </w:r>
    </w:p>
    <w:p w:rsidR="00586DF7" w:rsidRDefault="00A7194E">
      <w:pPr>
        <w:rPr>
          <w:rFonts w:ascii="新細明體" w:hAnsi="新細明體" w:cs="新細明體"/>
          <w:sz w:val="28"/>
        </w:rPr>
      </w:pPr>
      <w:r w:rsidRPr="00A7194E">
        <w:rPr>
          <w:rFonts w:ascii="新細明體" w:hAnsi="新細明體" w:cs="新細明體" w:hint="eastAsia"/>
          <w:sz w:val="28"/>
        </w:rPr>
        <w:t>此條係</w:t>
      </w:r>
      <w:r w:rsidRPr="00A7194E">
        <w:rPr>
          <w:rFonts w:ascii="新細明體" w:hAnsi="新細明體" w:cs="新細明體" w:hint="eastAsia"/>
          <w:color w:val="8B0000"/>
          <w:sz w:val="28"/>
        </w:rPr>
        <w:t>雍正初年</w:t>
      </w:r>
      <w:r w:rsidRPr="00A7194E">
        <w:rPr>
          <w:rFonts w:ascii="新細明體" w:hAnsi="新細明體" w:cs="新細明體" w:hint="eastAsia"/>
          <w:sz w:val="28"/>
        </w:rPr>
        <w:t>例，</w:t>
      </w:r>
      <w:r w:rsidRPr="00A7194E">
        <w:rPr>
          <w:rFonts w:ascii="新細明體" w:hAnsi="新細明體" w:cs="新細明體" w:hint="eastAsia"/>
          <w:color w:val="8B0000"/>
          <w:sz w:val="28"/>
        </w:rPr>
        <w:t>乾隆五年</w:t>
      </w:r>
      <w:r w:rsidRPr="00A7194E">
        <w:rPr>
          <w:rFonts w:ascii="新細明體" w:hAnsi="新細明體" w:cs="新細明體" w:hint="eastAsia"/>
          <w:sz w:val="28"/>
        </w:rPr>
        <w:t>改定。</w:t>
      </w:r>
      <w:r w:rsidRPr="00A7194E">
        <w:rPr>
          <w:rFonts w:ascii="新細明體" w:hAnsi="新細明體" w:hint="eastAsia"/>
          <w:sz w:val="28"/>
        </w:rPr>
        <w:t xml:space="preserve"> </w:t>
      </w:r>
    </w:p>
    <w:p w:rsidR="00586DF7" w:rsidRDefault="00A7194E">
      <w:pPr>
        <w:rPr>
          <w:rFonts w:ascii="新細明體" w:hAnsi="新細明體" w:cs="新細明體"/>
          <w:sz w:val="28"/>
        </w:rPr>
      </w:pPr>
      <w:r w:rsidRPr="00586DF7">
        <w:rPr>
          <w:rFonts w:ascii="新細明體" w:hAnsi="新細明體" w:cs="新細明體" w:hint="eastAsia"/>
          <w:b/>
          <w:sz w:val="28"/>
        </w:rPr>
        <w:t>謹按</w:t>
      </w:r>
      <w:r w:rsidRPr="00A7194E">
        <w:rPr>
          <w:rFonts w:ascii="新細明體" w:hAnsi="新細明體" w:cs="新細明體" w:hint="eastAsia"/>
          <w:sz w:val="28"/>
        </w:rPr>
        <w:t>。與斷罪無正條例文，及《處分則例》參看。不引本律定擬，妄行援照別條，見斷罪不當。</w:t>
      </w:r>
    </w:p>
    <w:p w:rsidR="00C9269B" w:rsidRDefault="00A7194E">
      <w:pPr>
        <w:rPr>
          <w:rFonts w:ascii="新細明體" w:hAnsi="新細明體"/>
          <w:sz w:val="28"/>
        </w:rPr>
      </w:pPr>
      <w:r w:rsidRPr="00A7194E">
        <w:rPr>
          <w:rFonts w:ascii="新細明體" w:hAnsi="新細明體" w:hint="eastAsia"/>
          <w:sz w:val="28"/>
        </w:rPr>
        <w:t xml:space="preserve"> </w:t>
      </w:r>
      <w:bookmarkStart w:id="1" w:name="斷罪引律令02"/>
      <w:bookmarkEnd w:id="1"/>
      <w:r w:rsidR="00BF2286" w:rsidRPr="00A7194E">
        <w:rPr>
          <w:rFonts w:ascii="新細明體" w:hAnsi="新細明體" w:hint="eastAsia"/>
          <w:sz w:val="28"/>
        </w:rPr>
        <w:fldChar w:fldCharType="begin"/>
      </w:r>
      <w:r w:rsidRPr="00A7194E">
        <w:rPr>
          <w:rFonts w:ascii="新細明體" w:hAnsi="新細明體" w:hint="eastAsia"/>
          <w:sz w:val="28"/>
        </w:rPr>
        <w:instrText xml:space="preserve"> </w:instrText>
      </w:r>
      <w:r w:rsidR="005E4EC1">
        <w:rPr>
          <w:rFonts w:ascii="新細明體" w:hAnsi="新細明體" w:hint="eastAsia"/>
          <w:sz w:val="28"/>
        </w:rPr>
        <w:instrText>HYPERLINK</w:instrText>
      </w:r>
      <w:r w:rsidRPr="00A7194E">
        <w:rPr>
          <w:rFonts w:ascii="新細明體" w:hAnsi="新細明體" w:hint="eastAsia"/>
          <w:sz w:val="28"/>
        </w:rPr>
        <w:instrText xml:space="preserve"> "http://www.terada.law.kyoto-u.ac.jp/dlcy/dlcy49eu.htm" \l "%E6%96%B7%E7%BD%AA%E5%BC%95%E5%BE%8B%E4%BB%A4" </w:instrText>
      </w:r>
      <w:r w:rsidR="00BF2286" w:rsidRPr="00A7194E">
        <w:rPr>
          <w:rFonts w:ascii="新細明體" w:hAnsi="新細明體" w:hint="eastAsia"/>
          <w:sz w:val="28"/>
        </w:rPr>
        <w:fldChar w:fldCharType="separate"/>
      </w:r>
      <w:r w:rsidRPr="00A7194E">
        <w:rPr>
          <w:rStyle w:val="Lienhypertexte"/>
          <w:rFonts w:ascii="新細明體" w:hAnsi="新細明體" w:cs="新細明體" w:hint="eastAsia"/>
          <w:color w:val="606020"/>
          <w:sz w:val="28"/>
        </w:rPr>
        <w:t>斷罪引律令</w:t>
      </w:r>
      <w:r w:rsidRPr="00A7194E">
        <w:rPr>
          <w:rStyle w:val="Lienhypertexte"/>
          <w:rFonts w:ascii="新細明體" w:hAnsi="新細明體" w:hint="eastAsia"/>
          <w:color w:val="606020"/>
          <w:sz w:val="28"/>
        </w:rPr>
        <w:t>-02</w:t>
      </w:r>
      <w:r w:rsidR="00BF2286" w:rsidRPr="00A7194E">
        <w:rPr>
          <w:rFonts w:ascii="新細明體" w:hAnsi="新細明體" w:hint="eastAsia"/>
          <w:sz w:val="28"/>
        </w:rPr>
        <w:fldChar w:fldCharType="end"/>
      </w:r>
      <w:r w:rsidR="00586DF7">
        <w:rPr>
          <w:rFonts w:ascii="新細明體" w:hAnsi="新細明體" w:cs="新細明體" w:hint="eastAsia"/>
          <w:sz w:val="28"/>
        </w:rPr>
        <w:t xml:space="preserve"> </w:t>
      </w:r>
      <w:r w:rsidRPr="00A7194E">
        <w:rPr>
          <w:rFonts w:ascii="新細明體" w:hAnsi="新細明體" w:hint="eastAsia"/>
          <w:sz w:val="28"/>
        </w:rPr>
        <w:t xml:space="preserve"> </w:t>
      </w:r>
      <w:r w:rsidRPr="00A7194E">
        <w:rPr>
          <w:rFonts w:ascii="新細明體" w:hAnsi="新細明體" w:cs="新細明體" w:hint="eastAsia"/>
          <w:sz w:val="28"/>
        </w:rPr>
        <w:t>一，例載比照光棍條款，仍照例斟酌定擬外，其餘情罪相倣，尚非實在光棍者，不得一概照光棍例定擬。</w:t>
      </w:r>
      <w:r w:rsidRPr="00A7194E">
        <w:rPr>
          <w:rFonts w:ascii="新細明體" w:hAnsi="新細明體" w:hint="eastAsia"/>
          <w:sz w:val="28"/>
        </w:rPr>
        <w:t xml:space="preserve"> </w:t>
      </w:r>
    </w:p>
    <w:p w:rsidR="00C9269B" w:rsidRDefault="00A7194E">
      <w:pPr>
        <w:rPr>
          <w:rFonts w:ascii="新細明體" w:hAnsi="新細明體"/>
          <w:sz w:val="28"/>
        </w:rPr>
      </w:pPr>
      <w:r w:rsidRPr="00A7194E">
        <w:rPr>
          <w:rFonts w:ascii="新細明體" w:hAnsi="新細明體" w:cs="新細明體" w:hint="eastAsia"/>
          <w:sz w:val="28"/>
        </w:rPr>
        <w:t>此條係</w:t>
      </w:r>
      <w:r w:rsidRPr="00A7194E">
        <w:rPr>
          <w:rFonts w:ascii="新細明體" w:hAnsi="新細明體" w:cs="新細明體" w:hint="eastAsia"/>
          <w:color w:val="8B0000"/>
          <w:sz w:val="28"/>
        </w:rPr>
        <w:t>乾隆二年</w:t>
      </w:r>
      <w:r w:rsidRPr="00A7194E">
        <w:rPr>
          <w:rFonts w:ascii="新細明體" w:hAnsi="新細明體" w:cs="新細明體" w:hint="eastAsia"/>
          <w:sz w:val="28"/>
        </w:rPr>
        <w:t>，議覆兵部右侍郎呉應棻條奏定例。</w:t>
      </w:r>
      <w:r w:rsidRPr="00A7194E">
        <w:rPr>
          <w:rFonts w:ascii="新細明體" w:hAnsi="新細明體" w:hint="eastAsia"/>
          <w:sz w:val="28"/>
        </w:rPr>
        <w:t xml:space="preserve">  </w:t>
      </w:r>
    </w:p>
    <w:p w:rsidR="00586DF7" w:rsidRDefault="00A7194E">
      <w:pPr>
        <w:rPr>
          <w:rFonts w:ascii="新細明體" w:hAnsi="新細明體" w:cs="新細明體"/>
          <w:sz w:val="28"/>
        </w:rPr>
      </w:pPr>
      <w:r w:rsidRPr="00C9269B">
        <w:rPr>
          <w:rFonts w:ascii="新細明體" w:hAnsi="新細明體" w:cs="新細明體" w:hint="eastAsia"/>
          <w:b/>
          <w:sz w:val="28"/>
        </w:rPr>
        <w:t>謹按</w:t>
      </w:r>
      <w:r w:rsidRPr="00A7194E">
        <w:rPr>
          <w:rFonts w:ascii="新細明體" w:hAnsi="新細明體" w:cs="新細明體" w:hint="eastAsia"/>
          <w:sz w:val="28"/>
        </w:rPr>
        <w:t>。光棍罪名極重，而例無專條比照定擬，恐有冤濫，是以特立此條。</w:t>
      </w:r>
      <w:r w:rsidRPr="00A7194E">
        <w:rPr>
          <w:rFonts w:ascii="新細明體" w:hAnsi="新細明體" w:cs="新細明體" w:hint="eastAsia"/>
          <w:color w:val="FF0000"/>
          <w:sz w:val="28"/>
        </w:rPr>
        <w:t>似應改為，例内載明照光棍例定擬者，准其援照定擬外，尚非實在光棍，下添例内，亦無明文</w:t>
      </w:r>
      <w:r w:rsidRPr="00A7194E">
        <w:rPr>
          <w:rFonts w:ascii="新細明體" w:hAnsi="新細明體" w:cs="新細明體" w:hint="eastAsia"/>
          <w:sz w:val="28"/>
        </w:rPr>
        <w:t>。</w:t>
      </w:r>
    </w:p>
    <w:p w:rsidR="00C9269B" w:rsidRDefault="00A7194E">
      <w:pPr>
        <w:rPr>
          <w:rFonts w:ascii="新細明體" w:hAnsi="新細明體" w:cs="新細明體"/>
          <w:sz w:val="28"/>
        </w:rPr>
      </w:pPr>
      <w:r w:rsidRPr="00A7194E">
        <w:rPr>
          <w:rFonts w:ascii="新細明體" w:hAnsi="新細明體" w:hint="eastAsia"/>
          <w:sz w:val="28"/>
        </w:rPr>
        <w:t xml:space="preserve"> </w:t>
      </w:r>
      <w:bookmarkStart w:id="2" w:name="斷罪引律令03"/>
      <w:bookmarkEnd w:id="2"/>
      <w:r w:rsidR="00BF2286" w:rsidRPr="00A7194E">
        <w:rPr>
          <w:rFonts w:ascii="新細明體" w:hAnsi="新細明體" w:hint="eastAsia"/>
          <w:sz w:val="28"/>
        </w:rPr>
        <w:fldChar w:fldCharType="begin"/>
      </w:r>
      <w:r w:rsidRPr="00A7194E">
        <w:rPr>
          <w:rFonts w:ascii="新細明體" w:hAnsi="新細明體" w:hint="eastAsia"/>
          <w:sz w:val="28"/>
        </w:rPr>
        <w:instrText xml:space="preserve"> </w:instrText>
      </w:r>
      <w:r w:rsidR="005E4EC1">
        <w:rPr>
          <w:rFonts w:ascii="新細明體" w:hAnsi="新細明體" w:hint="eastAsia"/>
          <w:sz w:val="28"/>
        </w:rPr>
        <w:instrText>HYPERLINK</w:instrText>
      </w:r>
      <w:r w:rsidRPr="00A7194E">
        <w:rPr>
          <w:rFonts w:ascii="新細明體" w:hAnsi="新細明體" w:hint="eastAsia"/>
          <w:sz w:val="28"/>
        </w:rPr>
        <w:instrText xml:space="preserve"> "http://www.terada.law.kyoto-u.ac.jp/dlcy/dlcy49eu.htm" \l "%E6%96%B7%E7%BD%AA%E5%BC%95%E5%BE%8B%E4%BB%A4" </w:instrText>
      </w:r>
      <w:r w:rsidR="00BF2286" w:rsidRPr="00A7194E">
        <w:rPr>
          <w:rFonts w:ascii="新細明體" w:hAnsi="新細明體" w:hint="eastAsia"/>
          <w:sz w:val="28"/>
        </w:rPr>
        <w:fldChar w:fldCharType="separate"/>
      </w:r>
      <w:r w:rsidRPr="00A7194E">
        <w:rPr>
          <w:rStyle w:val="Lienhypertexte"/>
          <w:rFonts w:ascii="新細明體" w:hAnsi="新細明體" w:cs="新細明體" w:hint="eastAsia"/>
          <w:color w:val="606020"/>
          <w:sz w:val="28"/>
        </w:rPr>
        <w:t>斷罪引律令</w:t>
      </w:r>
      <w:r w:rsidRPr="00A7194E">
        <w:rPr>
          <w:rStyle w:val="Lienhypertexte"/>
          <w:rFonts w:ascii="新細明體" w:hAnsi="新細明體" w:hint="eastAsia"/>
          <w:color w:val="606020"/>
          <w:sz w:val="28"/>
        </w:rPr>
        <w:t>-03</w:t>
      </w:r>
      <w:r w:rsidR="00BF2286" w:rsidRPr="00A7194E">
        <w:rPr>
          <w:rFonts w:ascii="新細明體" w:hAnsi="新細明體" w:hint="eastAsia"/>
          <w:sz w:val="28"/>
        </w:rPr>
        <w:fldChar w:fldCharType="end"/>
      </w:r>
      <w:r w:rsidR="00586DF7">
        <w:rPr>
          <w:rFonts w:ascii="新細明體" w:hAnsi="新細明體" w:cs="新細明體" w:hint="eastAsia"/>
          <w:sz w:val="28"/>
        </w:rPr>
        <w:t xml:space="preserve"> </w:t>
      </w:r>
      <w:r w:rsidRPr="00A7194E">
        <w:rPr>
          <w:rFonts w:ascii="新細明體" w:hAnsi="新細明體" w:hint="eastAsia"/>
          <w:sz w:val="28"/>
        </w:rPr>
        <w:t xml:space="preserve"> </w:t>
      </w:r>
      <w:r w:rsidRPr="00A7194E">
        <w:rPr>
          <w:rFonts w:ascii="新細明體" w:hAnsi="新細明體" w:cs="新細明體" w:hint="eastAsia"/>
          <w:sz w:val="28"/>
        </w:rPr>
        <w:t>一，除正律正例而外，凡屬成案未經通行著為定例，一概嚴禁，毋得混行牽引，致罪有出入。如督撫辦理案件，果有與舊案相合，可援為例者，許於本内聲明，刑部詳加査核，附請著為定例。</w:t>
      </w:r>
      <w:r w:rsidRPr="00A7194E">
        <w:rPr>
          <w:rFonts w:ascii="新細明體" w:hAnsi="新細明體" w:hint="eastAsia"/>
          <w:sz w:val="28"/>
        </w:rPr>
        <w:t xml:space="preserve"> </w:t>
      </w:r>
    </w:p>
    <w:p w:rsidR="00C9269B" w:rsidRDefault="00A7194E">
      <w:pPr>
        <w:rPr>
          <w:rFonts w:ascii="新細明體" w:hAnsi="新細明體" w:cs="新細明體"/>
          <w:sz w:val="28"/>
        </w:rPr>
      </w:pPr>
      <w:r w:rsidRPr="00A7194E">
        <w:rPr>
          <w:rFonts w:ascii="新細明體" w:hAnsi="新細明體" w:cs="新細明體" w:hint="eastAsia"/>
          <w:sz w:val="28"/>
        </w:rPr>
        <w:t>此條係</w:t>
      </w:r>
      <w:r w:rsidRPr="00A7194E">
        <w:rPr>
          <w:rFonts w:ascii="新細明體" w:hAnsi="新細明體" w:cs="新細明體" w:hint="eastAsia"/>
          <w:color w:val="8B0000"/>
          <w:sz w:val="28"/>
        </w:rPr>
        <w:t>乾隆三年</w:t>
      </w:r>
      <w:r w:rsidRPr="00A7194E">
        <w:rPr>
          <w:rFonts w:ascii="新細明體" w:hAnsi="新細明體" w:cs="新細明體" w:hint="eastAsia"/>
          <w:sz w:val="28"/>
        </w:rPr>
        <w:t>，刑部議覆御史王柯條奏定例。</w:t>
      </w:r>
      <w:r w:rsidRPr="00A7194E">
        <w:rPr>
          <w:rFonts w:ascii="新細明體" w:hAnsi="新細明體" w:hint="eastAsia"/>
          <w:sz w:val="28"/>
        </w:rPr>
        <w:t xml:space="preserve"> </w:t>
      </w:r>
    </w:p>
    <w:p w:rsidR="00586DF7" w:rsidRPr="00A7194E" w:rsidRDefault="00A7194E">
      <w:pPr>
        <w:rPr>
          <w:rFonts w:ascii="新細明體" w:hAnsi="新細明體"/>
          <w:sz w:val="28"/>
        </w:rPr>
      </w:pPr>
      <w:r w:rsidRPr="00C9269B">
        <w:rPr>
          <w:rFonts w:ascii="新細明體" w:hAnsi="新細明體" w:cs="新細明體" w:hint="eastAsia"/>
          <w:b/>
          <w:sz w:val="28"/>
        </w:rPr>
        <w:t>謹按</w:t>
      </w:r>
      <w:r w:rsidRPr="00A7194E">
        <w:rPr>
          <w:rFonts w:ascii="新細明體" w:hAnsi="新細明體" w:cs="新細明體" w:hint="eastAsia"/>
          <w:sz w:val="28"/>
        </w:rPr>
        <w:t>。此即律内特旨斷罪，臨時處治，不為定律者，不得輒引之意。</w:t>
      </w:r>
    </w:p>
    <w:sectPr w:rsidR="00586DF7" w:rsidRPr="00A7194E" w:rsidSect="00586DF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新細明體">
    <w:altName w:val="新細明體"/>
    <w:charset w:val="51"/>
    <w:family w:val="auto"/>
    <w:pitch w:val="variable"/>
    <w:sig w:usb0="00000001" w:usb1="00000000" w:usb2="01000408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A7194E"/>
    <w:rsid w:val="0053603A"/>
    <w:rsid w:val="00586DF7"/>
    <w:rsid w:val="005E4EC1"/>
    <w:rsid w:val="006E79A4"/>
    <w:rsid w:val="00A7194E"/>
    <w:rsid w:val="00B21EE9"/>
    <w:rsid w:val="00BF2286"/>
    <w:rsid w:val="00C86F05"/>
    <w:rsid w:val="00C9269B"/>
    <w:rsid w:val="00ED4759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0"/>
    <w:rPr>
      <w:rFonts w:ascii="Times New Roman" w:hAnsi="Times New Roman"/>
      <w:lang w:eastAsia="zh-TW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/>
      <w:ind w:left="567"/>
    </w:pPr>
    <w:rPr>
      <w:rFonts w:eastAsia="宋体"/>
      <w:sz w:val="22"/>
    </w:rPr>
  </w:style>
  <w:style w:type="character" w:styleId="Lienhypertexte">
    <w:name w:val="Hyperlink"/>
    <w:basedOn w:val="Policepardfaut"/>
    <w:uiPriority w:val="99"/>
    <w:rsid w:val="00A7194E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86D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erada.law.kyoto-u.ac.jp/dlcy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828</Characters>
  <Application>Microsoft Word 12.0.0</Application>
  <DocSecurity>0</DocSecurity>
  <Lines>6</Lines>
  <Paragraphs>1</Paragraphs>
  <ScaleCrop>false</ScaleCrop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cp:lastModifiedBy>...</cp:lastModifiedBy>
  <cp:revision>2</cp:revision>
  <cp:lastPrinted>2011-10-13T16:02:00Z</cp:lastPrinted>
  <dcterms:created xsi:type="dcterms:W3CDTF">2011-10-10T08:58:00Z</dcterms:created>
  <dcterms:modified xsi:type="dcterms:W3CDTF">2011-10-13T16:08:00Z</dcterms:modified>
</cp:coreProperties>
</file>