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43AE" w:rsidRPr="001F43AE" w:rsidRDefault="001F43AE" w:rsidP="001F43AE">
      <w:pPr>
        <w:spacing w:before="100" w:beforeAutospacing="1" w:after="100" w:afterAutospacing="1"/>
        <w:rPr>
          <w:rFonts w:ascii="Times" w:hAnsi="Times"/>
          <w:lang w:val="fr-FR" w:eastAsia="fr-FR"/>
        </w:rPr>
      </w:pPr>
      <w:r w:rsidRPr="001F43AE">
        <w:rPr>
          <w:rFonts w:ascii="Times" w:hAnsi="Times"/>
          <w:lang w:val="fr-FR" w:eastAsia="fr-FR"/>
        </w:rPr>
        <w:t>jeudi 4 février 2016</w:t>
      </w:r>
    </w:p>
    <w:p w:rsidR="001F43AE" w:rsidRPr="001F43AE" w:rsidRDefault="001F43AE" w:rsidP="001F43AE">
      <w:pPr>
        <w:spacing w:before="100" w:beforeAutospacing="1" w:after="100" w:afterAutospacing="1"/>
        <w:outlineLvl w:val="1"/>
        <w:rPr>
          <w:rFonts w:ascii="Times" w:eastAsia="Times New Roman" w:hAnsi="Times"/>
          <w:b/>
          <w:bCs/>
          <w:sz w:val="36"/>
          <w:szCs w:val="36"/>
          <w:lang w:val="fr-FR" w:eastAsia="fr-FR"/>
        </w:rPr>
      </w:pPr>
      <w:hyperlink r:id="rId5" w:history="1">
        <w:r w:rsidRPr="001F43AE">
          <w:rPr>
            <w:rFonts w:ascii="Times" w:eastAsia="Times New Roman" w:hAnsi="Times"/>
            <w:b/>
            <w:bCs/>
            <w:color w:val="0000FF"/>
            <w:sz w:val="36"/>
            <w:szCs w:val="36"/>
            <w:u w:val="single"/>
            <w:lang w:val="fr-FR" w:eastAsia="fr-FR"/>
          </w:rPr>
          <w:t>De grâce…</w:t>
        </w:r>
      </w:hyperlink>
    </w:p>
    <w:p w:rsidR="001F43AE" w:rsidRPr="001F43AE" w:rsidRDefault="001F43AE" w:rsidP="001F43AE">
      <w:pPr>
        <w:spacing w:before="100" w:beforeAutospacing="1" w:after="100" w:afterAutospacing="1"/>
        <w:rPr>
          <w:rFonts w:ascii="Times" w:hAnsi="Times"/>
          <w:lang w:val="fr-FR" w:eastAsia="fr-FR"/>
        </w:rPr>
      </w:pPr>
      <w:r w:rsidRPr="001F43AE">
        <w:rPr>
          <w:rFonts w:ascii="Times" w:hAnsi="Times"/>
          <w:lang w:val="fr-FR" w:eastAsia="fr-FR"/>
        </w:rPr>
        <w:t>L’affaire de la condamnation de Jacqueline Sauvage en décembre dernier, et de la grâce partielle dont elle vient de faire l’objet provoque beaucoup de commentaires, laudatifs ou non, et surtout beaucoup d’interrogations sur cette affaire, qui est présentée hélas avec beaucoup de complaisance sur certains médias. Quand une affaire devient le symbole d’une cause, ce n’est jamais bon signe pour la personne jugée, qui passe trop souvent au second plan. Faisons donc un point sur cette affaire et sur la situation de cette dame, qui n’est pas simple.</w:t>
      </w:r>
    </w:p>
    <w:p w:rsidR="001F43AE" w:rsidRPr="001F43AE" w:rsidRDefault="001F43AE" w:rsidP="001F43AE">
      <w:pPr>
        <w:spacing w:before="100" w:beforeAutospacing="1" w:after="100" w:afterAutospacing="1"/>
        <w:rPr>
          <w:rFonts w:ascii="Times" w:hAnsi="Times"/>
          <w:lang w:val="fr-FR" w:eastAsia="fr-FR"/>
        </w:rPr>
      </w:pPr>
      <w:r w:rsidRPr="001F43AE">
        <w:rPr>
          <w:rFonts w:ascii="Times" w:hAnsi="Times"/>
          <w:lang w:val="fr-FR" w:eastAsia="fr-FR"/>
        </w:rPr>
        <w:t>Les faits remontent au 10 septembre 2012, quand Jacqueline Sauvage abat son mari Norbert Marot de trois balles de fusil de chasse, tirées dans son dos. Elle expliquera avoir agi ainsi pour mettre fin à l’enfer que lui faisait vivre son mari, et ce depuis 47 ans, s’en prenant régulièrement à elle mais aussi aux trois filles qu’ils ont eu ensemble. Ces trois filles d’ailleurs soutiendront sans faille leur mère et confirmeront le caractère violent de la victime, que personne n’a jamais contesté au demeurant. Incarcérée dans un premier temps, elle est remise en liberté et comparaît libre devant la cour d’assises d’Orléans en octobre 2014. Elle est déclarée coupable de meurtre aggravé (car sur la personne du conjoint) et condamnée à 10 ans de prison et aussitôt incarcérée, la condamnation à de la prison ferme par la cour d’assises valant de plein droit mandat de dépôt. Elle a fait appel de cette décision, et le 4 décembre 2015, la cour d’assises d’appel de Blois confirme tant la condamnation que la peine.</w:t>
      </w:r>
    </w:p>
    <w:p w:rsidR="001F43AE" w:rsidRPr="001F43AE" w:rsidRDefault="001F43AE" w:rsidP="001F43AE">
      <w:pPr>
        <w:spacing w:before="100" w:beforeAutospacing="1" w:after="100" w:afterAutospacing="1"/>
        <w:rPr>
          <w:rFonts w:ascii="Times" w:hAnsi="Times"/>
          <w:lang w:val="fr-FR" w:eastAsia="fr-FR"/>
        </w:rPr>
      </w:pPr>
      <w:r w:rsidRPr="001F43AE">
        <w:rPr>
          <w:rFonts w:ascii="Times" w:hAnsi="Times"/>
          <w:lang w:val="fr-FR" w:eastAsia="fr-FR"/>
        </w:rPr>
        <w:t xml:space="preserve">Pourquoi diable deux cours d’assises ont-elles condamné Jacqueline Sauvage à cette peine, ce qui suppose, pour être précis, que sur les 15 jurés populaires et 6 juges professionnels ayant délibéré, en appliquant les règles de majorité qualifiée, au moins 14 aient voté la culpabilité, et 12 la peine de 10 ans </w:t>
      </w:r>
      <w:proofErr w:type="gramStart"/>
      <w:r w:rsidRPr="001F43AE">
        <w:rPr>
          <w:rFonts w:ascii="Times" w:hAnsi="Times"/>
          <w:lang w:val="fr-FR" w:eastAsia="fr-FR"/>
        </w:rPr>
        <w:t>d’emprisonnement</w:t>
      </w:r>
      <w:r w:rsidRPr="001F43AE">
        <w:rPr>
          <w:rFonts w:ascii="Times" w:hAnsi="Times"/>
          <w:vertAlign w:val="superscript"/>
          <w:lang w:val="fr-FR" w:eastAsia="fr-FR"/>
        </w:rPr>
        <w:t>[</w:t>
      </w:r>
      <w:proofErr w:type="gramEnd"/>
      <w:r w:rsidRPr="001F43AE">
        <w:rPr>
          <w:rFonts w:ascii="Times" w:hAnsi="Times"/>
          <w:vertAlign w:val="superscript"/>
          <w:lang w:val="fr-FR" w:eastAsia="fr-FR"/>
        </w:rPr>
        <w:fldChar w:fldCharType="begin"/>
      </w:r>
      <w:r w:rsidRPr="001F43AE">
        <w:rPr>
          <w:rFonts w:ascii="Times" w:hAnsi="Times"/>
          <w:vertAlign w:val="superscript"/>
          <w:lang w:val="fr-FR" w:eastAsia="fr-FR"/>
        </w:rPr>
        <w:instrText xml:space="preserve"> HYPERLINK "http://www.maitre-eolas.fr/" \l "wiki-footnote-1" </w:instrText>
      </w:r>
      <w:r w:rsidRPr="001F43AE">
        <w:rPr>
          <w:rFonts w:ascii="Times" w:hAnsi="Times"/>
          <w:vertAlign w:val="superscript"/>
          <w:lang w:val="fr-FR" w:eastAsia="fr-FR"/>
        </w:rPr>
      </w:r>
      <w:r w:rsidRPr="001F43AE">
        <w:rPr>
          <w:rFonts w:ascii="Times" w:hAnsi="Times"/>
          <w:vertAlign w:val="superscript"/>
          <w:lang w:val="fr-FR" w:eastAsia="fr-FR"/>
        </w:rPr>
        <w:fldChar w:fldCharType="separate"/>
      </w:r>
      <w:r w:rsidRPr="001F43AE">
        <w:rPr>
          <w:rFonts w:ascii="Times" w:hAnsi="Times"/>
          <w:color w:val="0000FF"/>
          <w:u w:val="single"/>
          <w:vertAlign w:val="superscript"/>
          <w:lang w:val="fr-FR" w:eastAsia="fr-FR"/>
        </w:rPr>
        <w:t>1</w:t>
      </w:r>
      <w:r w:rsidRPr="001F43AE">
        <w:rPr>
          <w:rFonts w:ascii="Times" w:hAnsi="Times"/>
          <w:vertAlign w:val="superscript"/>
          <w:lang w:val="fr-FR" w:eastAsia="fr-FR"/>
        </w:rPr>
        <w:fldChar w:fldCharType="end"/>
      </w:r>
      <w:r w:rsidRPr="001F43AE">
        <w:rPr>
          <w:rFonts w:ascii="Times" w:hAnsi="Times"/>
          <w:vertAlign w:val="superscript"/>
          <w:lang w:val="fr-FR" w:eastAsia="fr-FR"/>
        </w:rPr>
        <w:t>]</w:t>
      </w:r>
      <w:r w:rsidRPr="001F43AE">
        <w:rPr>
          <w:rFonts w:ascii="Times" w:hAnsi="Times"/>
          <w:lang w:val="fr-FR" w:eastAsia="fr-FR"/>
        </w:rPr>
        <w:t> ? Comment expliquer une peine aussi lourde pour une femme expliquant être la victime d’un tyran domestique violent et ayant même agressé sexuellement leurs filles ?</w:t>
      </w:r>
    </w:p>
    <w:p w:rsidR="001F43AE" w:rsidRPr="001F43AE" w:rsidRDefault="001F43AE" w:rsidP="001F43AE">
      <w:pPr>
        <w:spacing w:before="100" w:beforeAutospacing="1" w:after="100" w:afterAutospacing="1"/>
        <w:rPr>
          <w:rFonts w:ascii="Times" w:hAnsi="Times"/>
          <w:lang w:val="fr-FR" w:eastAsia="fr-FR"/>
        </w:rPr>
      </w:pPr>
      <w:r w:rsidRPr="001F43AE">
        <w:rPr>
          <w:rFonts w:ascii="Times" w:hAnsi="Times"/>
          <w:lang w:val="fr-FR" w:eastAsia="fr-FR"/>
        </w:rPr>
        <w:t>Parce que l’examen des faits provoque quelques accrocs à ce récit émouvant. Sans refaire l’ensemble du procès, le récit des faits présenté par l’accusée lors de son interpellation a été battu en brèche par l’enquête (aucune trace des violences qu’elle prétendait avoir subi juste avant, hormis une trace à la lèvre, aucune trace dans son sang du somnifère qu’elle prétendait avoir pris, l’heure des faits ne correspond pas aux témoignages recueillis). De même, s’il est établi que Norbert Marot était colérique et prompt à insulter, les violences physiques qu’il aurait commises n’ont pas été établies avec certitude. Si l’accusée et ses trois filles ont affirmé leur réalité, en dehors de ce cercle familial, aucun voisin n’a jamais vu de coups ni de traces de coups, et les petits-enfants de l’accusée ont déclaré n’avoir jamais vu leur grand-père être physiquement violent avec leur grand-mère. Aucune plainte n’a jamais été déposée, que ce soit pour violences ou pour viol. Une des filles du couple expliquera avoir fugué à 17 ans pour aller porter plainte, mais avoir finalement dérobé le procès verbal et l’avoir brûlé dans les toilettes de la gendarmerie. Mais aucun compte-rendu d’incident n’a été retrouvé. De même, le portrait de Jacqueline Sauvage, femme sous emprise et trop effrayée pour porter plainte et appeler à l’aide ne correspond pas au comportement de l’accusée, qui a par exemple poursuivi en voiture une maitresse de son mari qui a dû se réfugier à la gendarmerie, qui a été décrite comme autoritaire et réfractaire à l’autorité des autres par l’administration pénitentiaire durant son incarcération. Une voisine a même déclaré à la barre avoir vu Jacqueline Sauvage gifler son mari. Dernier argument invoqué par les soutiens de l’accusé : le suicide du fils du couple, la veille des faits, qui aurait pu faire basculer Jacqueline Sauvage, mais il est établi qu’elle ne l’a appris qu’après avoir abattu son mari. Ajoutons que le fusil en question était celui de Jacqueline Sauvage, qui pratiquait la chasse.</w:t>
      </w:r>
    </w:p>
    <w:p w:rsidR="001F43AE" w:rsidRPr="001F43AE" w:rsidRDefault="001F43AE" w:rsidP="001F43AE">
      <w:pPr>
        <w:spacing w:before="100" w:beforeAutospacing="1" w:after="100" w:afterAutospacing="1"/>
        <w:rPr>
          <w:rFonts w:ascii="Times" w:hAnsi="Times"/>
          <w:lang w:val="fr-FR" w:eastAsia="fr-FR"/>
        </w:rPr>
      </w:pPr>
      <w:r w:rsidRPr="001F43AE">
        <w:rPr>
          <w:rFonts w:ascii="Times" w:hAnsi="Times"/>
          <w:lang w:val="fr-FR" w:eastAsia="fr-FR"/>
        </w:rPr>
        <w:t>Tous ces éléments et d’autres encore débattus lors des deux procès expliquent largement la relative sévérité des juges. Ajoutons à cela qu’en appel, la défense de Jacqueline Sauvage a fait un choix audacieux et dangereux : celui de plaider l’acquittement sur le fondement de la légitime défense, à l’exclusion de toute autre chose. Or il est incontestable que les conditions juridiques de la légitime défense n’étaient pas réunies, faute de simultanéité entre l’agression (dont la réalité était discutable) et la riposte, et la proportionnalité de celle-ci (trois balles dans le dos, contre un coup au visage). Pour pallier cette difficulté, la défense invoquait le syndrome des femmes battues, traumatisme psychologique empêchant la prise de décisions rationnelles, mais sans avoir cité le moindre expert psychiatre à l’appui de cette thèse. Cette stratégie n’a pas payé, puisque l’avocat général a été suivi dans ses réquisitions. Et c’est là que le bat blesse.</w:t>
      </w:r>
    </w:p>
    <w:p w:rsidR="001F43AE" w:rsidRPr="001F43AE" w:rsidRDefault="001F43AE" w:rsidP="001F43AE">
      <w:pPr>
        <w:spacing w:before="100" w:beforeAutospacing="1" w:after="100" w:afterAutospacing="1"/>
        <w:rPr>
          <w:rFonts w:ascii="Times" w:hAnsi="Times"/>
          <w:lang w:val="fr-FR" w:eastAsia="fr-FR"/>
        </w:rPr>
      </w:pPr>
      <w:r w:rsidRPr="001F43AE">
        <w:rPr>
          <w:rFonts w:ascii="Times" w:hAnsi="Times"/>
          <w:lang w:val="fr-FR" w:eastAsia="fr-FR"/>
        </w:rPr>
        <w:lastRenderedPageBreak/>
        <w:t xml:space="preserve">Dans ses réquisitions, à l’appui de la peine qu’il demandait, l’avocat général a usé d’un argument puissant sur l’esprit des jurés : il leur a indiqué la date probable de sortie de l’accusée en annonçant qu’elle se situerait, en suivant ses réquisitions et avec le jeu des réductions de peine et de la libération conditionnelle, environ un an après le procès (il a donné la date de janvier 2017). Les jurés sont sensibles à ce critère, qui est dans leur esprit l’effet réel de leur décision, le passé ne comptant guère pour eux dans une affaire qu’ils découvrent à l’audience. </w:t>
      </w:r>
      <w:proofErr w:type="spellStart"/>
      <w:r w:rsidRPr="001F43AE">
        <w:rPr>
          <w:rFonts w:ascii="Times" w:hAnsi="Times"/>
          <w:i/>
          <w:iCs/>
          <w:lang w:val="fr-FR" w:eastAsia="fr-FR"/>
        </w:rPr>
        <w:t>Fatalitas</w:t>
      </w:r>
      <w:proofErr w:type="spellEnd"/>
      <w:r w:rsidRPr="001F43AE">
        <w:rPr>
          <w:rFonts w:ascii="Times" w:hAnsi="Times"/>
          <w:lang w:val="fr-FR" w:eastAsia="fr-FR"/>
        </w:rPr>
        <w:t xml:space="preserve">, cette information était erronée, et </w:t>
      </w:r>
      <w:proofErr w:type="spellStart"/>
      <w:r w:rsidRPr="001F43AE">
        <w:rPr>
          <w:rFonts w:ascii="Times" w:hAnsi="Times"/>
          <w:i/>
          <w:iCs/>
          <w:lang w:val="fr-FR" w:eastAsia="fr-FR"/>
        </w:rPr>
        <w:t>fatalitas</w:t>
      </w:r>
      <w:proofErr w:type="spellEnd"/>
      <w:r w:rsidRPr="001F43AE">
        <w:rPr>
          <w:rFonts w:ascii="Times" w:hAnsi="Times"/>
          <w:i/>
          <w:iCs/>
          <w:lang w:val="fr-FR" w:eastAsia="fr-FR"/>
        </w:rPr>
        <w:t xml:space="preserve"> </w:t>
      </w:r>
      <w:proofErr w:type="spellStart"/>
      <w:r w:rsidRPr="001F43AE">
        <w:rPr>
          <w:rFonts w:ascii="Times" w:hAnsi="Times"/>
          <w:i/>
          <w:iCs/>
          <w:lang w:val="fr-FR" w:eastAsia="fr-FR"/>
        </w:rPr>
        <w:t>fatalitatum</w:t>
      </w:r>
      <w:proofErr w:type="spellEnd"/>
      <w:r w:rsidRPr="001F43AE">
        <w:rPr>
          <w:rFonts w:ascii="Times" w:hAnsi="Times"/>
          <w:lang w:val="fr-FR" w:eastAsia="fr-FR"/>
        </w:rPr>
        <w:t>, la défense, les yeux fixés sur l’acquittement, n’a pas rectifié cette erreur.</w:t>
      </w:r>
    </w:p>
    <w:p w:rsidR="001F43AE" w:rsidRPr="001F43AE" w:rsidRDefault="001F43AE" w:rsidP="001F43AE">
      <w:pPr>
        <w:spacing w:before="100" w:beforeAutospacing="1" w:after="100" w:afterAutospacing="1"/>
        <w:rPr>
          <w:rFonts w:ascii="Times" w:hAnsi="Times"/>
          <w:lang w:val="fr-FR" w:eastAsia="fr-FR"/>
        </w:rPr>
      </w:pPr>
      <w:r w:rsidRPr="001F43AE">
        <w:rPr>
          <w:rFonts w:ascii="Times" w:hAnsi="Times"/>
          <w:lang w:val="fr-FR" w:eastAsia="fr-FR"/>
        </w:rPr>
        <w:t xml:space="preserve">Le droit de l’application des peines est un droit technique, complexe, et méprisé par l’opinion publique et les politiques, la première n’y voyant qu’une expression du laxisme et les seconds, un moyen de gérer le stock des détenus sans avoir à financer de nouveaux établissements. Alors que son fondement, et son utilité, réelle, </w:t>
      </w:r>
      <w:proofErr w:type="gramStart"/>
      <w:r w:rsidRPr="001F43AE">
        <w:rPr>
          <w:rFonts w:ascii="Times" w:hAnsi="Times"/>
          <w:lang w:val="fr-FR" w:eastAsia="fr-FR"/>
        </w:rPr>
        <w:t>est</w:t>
      </w:r>
      <w:proofErr w:type="gramEnd"/>
      <w:r w:rsidRPr="001F43AE">
        <w:rPr>
          <w:rFonts w:ascii="Times" w:hAnsi="Times"/>
          <w:lang w:val="fr-FR" w:eastAsia="fr-FR"/>
        </w:rPr>
        <w:t xml:space="preserve"> de réinsérer et de prévenir la récidive, bref, de protéger la société. On ne manque jamais de fustiger ses échecs, mais le taux de récidive des détenus ayant pu bénéficier de l’adaptation de leur peine aux circonstances postérieures à leur condamnation est bien plus bas que ceux n’ayant pu en bénéficier. Ce n’est pas l’empilement des lois sécuritaires inutiles qui lutte vraiment contre la récidive. Ce sont les juges des applications des peines, et leurs petites mains, les conseillers d’insertion et de probation.</w:t>
      </w:r>
    </w:p>
    <w:p w:rsidR="001F43AE" w:rsidRPr="001F43AE" w:rsidRDefault="001F43AE" w:rsidP="001F43AE">
      <w:pPr>
        <w:spacing w:before="100" w:beforeAutospacing="1" w:after="100" w:afterAutospacing="1"/>
        <w:rPr>
          <w:rFonts w:ascii="Times" w:hAnsi="Times"/>
          <w:lang w:val="fr-FR" w:eastAsia="fr-FR"/>
        </w:rPr>
      </w:pPr>
      <w:r w:rsidRPr="001F43AE">
        <w:rPr>
          <w:rFonts w:ascii="Times" w:hAnsi="Times"/>
          <w:lang w:val="fr-FR" w:eastAsia="fr-FR"/>
        </w:rPr>
        <w:t>Peu d’avocats s’y connaissent en la matière, tant il est vrai que les détenus n’ont pas le réflexe de faire appel à un avocat pour gérer l’après condamnation. Et c’est un tort, car l’application des peines peut permettre de sauver une affaire où on s’est pris une mauvaise décision. Et même chez les magistrats, ceux qui n’ont pas été juges de l’application des peines ou procureur à l’exécution des peines n’ont de ce droit que des notions et n’ont pas les réflexes que seule donne la pratique quotidienne de cette matière.</w:t>
      </w:r>
    </w:p>
    <w:p w:rsidR="001F43AE" w:rsidRPr="001F43AE" w:rsidRDefault="001F43AE" w:rsidP="001F43AE">
      <w:pPr>
        <w:spacing w:before="100" w:beforeAutospacing="1" w:after="100" w:afterAutospacing="1"/>
        <w:rPr>
          <w:rFonts w:ascii="Times" w:hAnsi="Times"/>
          <w:lang w:val="fr-FR" w:eastAsia="fr-FR"/>
        </w:rPr>
      </w:pPr>
      <w:r w:rsidRPr="001F43AE">
        <w:rPr>
          <w:rFonts w:ascii="Times" w:hAnsi="Times"/>
          <w:lang w:val="fr-FR" w:eastAsia="fr-FR"/>
        </w:rPr>
        <w:t>Démonstration ici.</w:t>
      </w:r>
    </w:p>
    <w:p w:rsidR="001F43AE" w:rsidRPr="001F43AE" w:rsidRDefault="001F43AE" w:rsidP="001F43AE">
      <w:pPr>
        <w:spacing w:before="100" w:beforeAutospacing="1" w:after="100" w:afterAutospacing="1"/>
        <w:rPr>
          <w:rFonts w:ascii="Times" w:hAnsi="Times"/>
          <w:lang w:val="fr-FR" w:eastAsia="fr-FR"/>
        </w:rPr>
      </w:pPr>
      <w:r w:rsidRPr="001F43AE">
        <w:rPr>
          <w:rFonts w:ascii="Times" w:hAnsi="Times"/>
          <w:lang w:val="fr-FR" w:eastAsia="fr-FR"/>
        </w:rPr>
        <w:t>Quand une peine de prison ferme est amenée à exécution, on lui applique un crédit de réduction de peine (CRP). Depuis 2004, ces réductions de peine n’ont plus à être prononcées par le juge de l’application des peines (JAP), mais il peut les retirer en cas de comportement problématique du détenu. Cela a soulagé leur charge de travail, ils ne passent plus des heures à signer des ordonnances de réduction de peine, mais n’interviennent qu’en cas de retrait. Ce crédit, prévu par l’</w:t>
      </w:r>
      <w:hyperlink r:id="rId6" w:history="1">
        <w:r w:rsidRPr="001F43AE">
          <w:rPr>
            <w:rFonts w:ascii="Times" w:hAnsi="Times"/>
            <w:color w:val="0000FF"/>
            <w:u w:val="single"/>
            <w:lang w:val="fr-FR" w:eastAsia="fr-FR"/>
          </w:rPr>
          <w:t>article 721 du code de procédure pénale</w:t>
        </w:r>
      </w:hyperlink>
      <w:r w:rsidRPr="001F43AE">
        <w:rPr>
          <w:rFonts w:ascii="Times" w:hAnsi="Times"/>
          <w:lang w:val="fr-FR" w:eastAsia="fr-FR"/>
        </w:rPr>
        <w:t xml:space="preserve">, est de trois mois pour la première année, de deux mois pour les années suivantes, et pour les fractions inférieures à un an, de 7 jours par mois, dans la limite de deux mois. Si le détenu manifeste des efforts sérieux de réadaptation sociale (notamment par des études ou des formations qualifiantes en détention), le juge de l’application des peines peut lui accorder des réductions de peine supplémentaires (RPS) dans la limite de 3 mois par an et de 7 jours par mois pour les fractions inférieures. Et quand le détenu arrive à </w:t>
      </w:r>
      <w:proofErr w:type="spellStart"/>
      <w:r w:rsidRPr="001F43AE">
        <w:rPr>
          <w:rFonts w:ascii="Times" w:hAnsi="Times"/>
          <w:lang w:val="fr-FR" w:eastAsia="fr-FR"/>
        </w:rPr>
        <w:t>mi-peine</w:t>
      </w:r>
      <w:proofErr w:type="spellEnd"/>
      <w:r w:rsidRPr="001F43AE">
        <w:rPr>
          <w:rFonts w:ascii="Times" w:hAnsi="Times"/>
          <w:lang w:val="fr-FR" w:eastAsia="fr-FR"/>
        </w:rPr>
        <w:t xml:space="preserve">, il peut demander à bénéficier d’une </w:t>
      </w:r>
      <w:hyperlink r:id="rId7" w:history="1">
        <w:r w:rsidRPr="001F43AE">
          <w:rPr>
            <w:rFonts w:ascii="Times" w:hAnsi="Times"/>
            <w:color w:val="0000FF"/>
            <w:u w:val="single"/>
            <w:lang w:val="fr-FR" w:eastAsia="fr-FR"/>
          </w:rPr>
          <w:t>libération conditionnelle</w:t>
        </w:r>
      </w:hyperlink>
      <w:r w:rsidRPr="001F43AE">
        <w:rPr>
          <w:rFonts w:ascii="Times" w:hAnsi="Times"/>
          <w:lang w:val="fr-FR" w:eastAsia="fr-FR"/>
        </w:rPr>
        <w:t>, c’est à dire de finir de purger sa peine en liberté, en étant suivi régulièrement par le service pénitentiaire d’insertion et de probation (SPIP) et en étant contraint de se soumettre à des obligations (comme le port d’un bracelet électronique) et interdictions (comme de quitter son domicile en dehors de certaines plages horaires) dont la violation peut entraîner (et de fait entraîne très facilement) son retour en détention.</w:t>
      </w:r>
    </w:p>
    <w:p w:rsidR="001F43AE" w:rsidRPr="001F43AE" w:rsidRDefault="001F43AE" w:rsidP="001F43AE">
      <w:pPr>
        <w:spacing w:before="100" w:beforeAutospacing="1" w:after="100" w:afterAutospacing="1"/>
        <w:rPr>
          <w:rFonts w:ascii="Times" w:hAnsi="Times"/>
          <w:lang w:val="fr-FR" w:eastAsia="fr-FR"/>
        </w:rPr>
      </w:pPr>
      <w:r w:rsidRPr="001F43AE">
        <w:rPr>
          <w:rFonts w:ascii="Times" w:hAnsi="Times"/>
          <w:lang w:val="fr-FR" w:eastAsia="fr-FR"/>
        </w:rPr>
        <w:t xml:space="preserve">Jacqueline Sauvage avait effectué au jour du verdict d’appel 32 mois de détention (j’arrondis). Or je ne vois pas comment l’avocat général pouvait arriver à janvier 2017. Le calcul est le suivant : condamnée à 10 ans le 4 décembre 2015, fin de peine le 4 décembre 2025. Application des crédits de réduction de peine : 3 mois + 9 fois deux mois soit 21 mois, fin de peine le 4 mars 2024. Puis on impute les 32 mois de détention provisoire, fin de peine le 4 juillet 2021. Ça fait une </w:t>
      </w:r>
      <w:proofErr w:type="spellStart"/>
      <w:r w:rsidRPr="001F43AE">
        <w:rPr>
          <w:rFonts w:ascii="Times" w:hAnsi="Times"/>
          <w:lang w:val="fr-FR" w:eastAsia="fr-FR"/>
        </w:rPr>
        <w:t>mi-peine</w:t>
      </w:r>
      <w:proofErr w:type="spellEnd"/>
      <w:r w:rsidRPr="001F43AE">
        <w:rPr>
          <w:rFonts w:ascii="Times" w:hAnsi="Times"/>
          <w:lang w:val="fr-FR" w:eastAsia="fr-FR"/>
        </w:rPr>
        <w:t xml:space="preserve"> mi septembre 2018. Certes, elle peut bénéficier jusqu’à 30 mois de réduction de peine supplémentaire, mais c’est un peu audacieux de supposer qu’elle les aura, rapidement qui plus est, et de calculer ses réquisitions sur cette hypothèse.</w:t>
      </w:r>
    </w:p>
    <w:p w:rsidR="001F43AE" w:rsidRPr="001F43AE" w:rsidRDefault="001F43AE" w:rsidP="001F43AE">
      <w:pPr>
        <w:spacing w:before="100" w:beforeAutospacing="1" w:after="100" w:afterAutospacing="1"/>
        <w:rPr>
          <w:rFonts w:ascii="Times" w:hAnsi="Times"/>
          <w:lang w:val="fr-FR" w:eastAsia="fr-FR"/>
        </w:rPr>
      </w:pPr>
      <w:r w:rsidRPr="001F43AE">
        <w:rPr>
          <w:rFonts w:ascii="Times" w:hAnsi="Times"/>
          <w:lang w:val="fr-FR" w:eastAsia="fr-FR"/>
        </w:rPr>
        <w:t>D’autant qu’un deuxième obstacle surgit.</w:t>
      </w:r>
    </w:p>
    <w:p w:rsidR="001F43AE" w:rsidRPr="001F43AE" w:rsidRDefault="001F43AE" w:rsidP="001F43AE">
      <w:pPr>
        <w:spacing w:before="100" w:beforeAutospacing="1" w:after="100" w:afterAutospacing="1"/>
        <w:rPr>
          <w:rFonts w:ascii="Times" w:hAnsi="Times"/>
          <w:lang w:val="fr-FR" w:eastAsia="fr-FR"/>
        </w:rPr>
      </w:pPr>
      <w:r w:rsidRPr="001F43AE">
        <w:rPr>
          <w:rFonts w:ascii="Times" w:hAnsi="Times"/>
          <w:lang w:val="fr-FR" w:eastAsia="fr-FR"/>
        </w:rPr>
        <w:t>Nous sommes dans une affaire de meurtre aggravé. Or pour ce crime, la période de sûreté de l’</w:t>
      </w:r>
      <w:hyperlink r:id="rId8" w:history="1">
        <w:r w:rsidRPr="001F43AE">
          <w:rPr>
            <w:rFonts w:ascii="Times" w:hAnsi="Times"/>
            <w:color w:val="0000FF"/>
            <w:u w:val="single"/>
            <w:lang w:val="fr-FR" w:eastAsia="fr-FR"/>
          </w:rPr>
          <w:t>article 132-23 du code pénal</w:t>
        </w:r>
      </w:hyperlink>
      <w:r w:rsidRPr="001F43AE">
        <w:rPr>
          <w:rFonts w:ascii="Times" w:hAnsi="Times"/>
          <w:lang w:val="fr-FR" w:eastAsia="fr-FR"/>
        </w:rPr>
        <w:t>, qui interdit toute mesure de remise en liberté, y compris la moindre permission de sortie, avant un délai égal à la moitié de la peine prononcée, hors réduction de peine,</w:t>
      </w:r>
      <w:hyperlink r:id="rId9" w:history="1">
        <w:r w:rsidRPr="001F43AE">
          <w:rPr>
            <w:rFonts w:ascii="Times" w:hAnsi="Times"/>
            <w:color w:val="0000FF"/>
            <w:u w:val="single"/>
            <w:lang w:val="fr-FR" w:eastAsia="fr-FR"/>
          </w:rPr>
          <w:t xml:space="preserve"> s’applique automatiquement</w:t>
        </w:r>
      </w:hyperlink>
      <w:r w:rsidRPr="001F43AE">
        <w:rPr>
          <w:rFonts w:ascii="Times" w:hAnsi="Times"/>
          <w:lang w:val="fr-FR" w:eastAsia="fr-FR"/>
        </w:rPr>
        <w:t xml:space="preserve">… dès que le quantum de la peine atteint 10 ans. Si la cour avait prononcé une peine de 9 ans, 11 mois et 29 jours, le calcul de l’avocat général, pour hypothétique qu’il fût, se défendait. Mais à 10 ans, il ne tient plus. Il y a 5 ans de période de sûreté, donc il reste 28 mois d’emprisonnement sec inévitables (5 ans font 60 mois, moins 32 mois déjà effectués). Puis ce délai d’épreuve expiré, seulement alors la libération conditionnelle peut s’envisager, avec généralement des phases préparatoires de permissions de sortie suivies de retour en détention. En tout état de cause, la libération conditionnelle ne pouvait intervenir avant avril 2018. Enfin, ne pouvait : en droit, l’impossible est rare (demandez à mes </w:t>
      </w:r>
      <w:proofErr w:type="gramStart"/>
      <w:r w:rsidRPr="001F43AE">
        <w:rPr>
          <w:rFonts w:ascii="Times" w:hAnsi="Times"/>
          <w:lang w:val="fr-FR" w:eastAsia="fr-FR"/>
        </w:rPr>
        <w:t>clients…)</w:t>
      </w:r>
      <w:proofErr w:type="gramEnd"/>
      <w:r w:rsidRPr="001F43AE">
        <w:rPr>
          <w:rFonts w:ascii="Times" w:hAnsi="Times"/>
          <w:lang w:val="fr-FR" w:eastAsia="fr-FR"/>
        </w:rPr>
        <w:t>. On peut demander à être relevé de la période de sûreté par le tribunal de l’application des peines (la cour peut aussi décider de la lever, l’abréger ou au contraire la prolonger mais la question ne semble pas avoir été posée), et d’ailleurs Jacqueline Sauvage avait d’ores et déjà saisi ce tribunal, mais obtenir un tel relevé quelques mois après la décision d’appel, confirmative qui plus est, était une gageure.</w:t>
      </w:r>
    </w:p>
    <w:p w:rsidR="001F43AE" w:rsidRPr="001F43AE" w:rsidRDefault="001F43AE" w:rsidP="001F43AE">
      <w:pPr>
        <w:spacing w:before="100" w:beforeAutospacing="1" w:after="100" w:afterAutospacing="1"/>
        <w:rPr>
          <w:rFonts w:ascii="Times" w:hAnsi="Times"/>
          <w:lang w:val="fr-FR" w:eastAsia="fr-FR"/>
        </w:rPr>
      </w:pPr>
      <w:r w:rsidRPr="001F43AE">
        <w:rPr>
          <w:rFonts w:ascii="Times" w:hAnsi="Times"/>
          <w:lang w:val="fr-FR" w:eastAsia="fr-FR"/>
        </w:rPr>
        <w:t>C’est en cet état que la grâce présidentielle entre en scène.</w:t>
      </w:r>
    </w:p>
    <w:p w:rsidR="001F43AE" w:rsidRPr="001F43AE" w:rsidRDefault="001F43AE" w:rsidP="001F43AE">
      <w:pPr>
        <w:spacing w:before="100" w:beforeAutospacing="1" w:after="100" w:afterAutospacing="1"/>
        <w:rPr>
          <w:rFonts w:ascii="Times" w:hAnsi="Times"/>
          <w:lang w:val="fr-FR" w:eastAsia="fr-FR"/>
        </w:rPr>
      </w:pPr>
      <w:r w:rsidRPr="001F43AE">
        <w:rPr>
          <w:rFonts w:ascii="Times" w:hAnsi="Times"/>
          <w:lang w:val="fr-FR" w:eastAsia="fr-FR"/>
        </w:rPr>
        <w:t>La grâce est un pouvoir que la Constitution donne au président de la République (</w:t>
      </w:r>
      <w:hyperlink r:id="rId10" w:history="1">
        <w:r w:rsidRPr="001F43AE">
          <w:rPr>
            <w:rFonts w:ascii="Times" w:hAnsi="Times"/>
            <w:color w:val="0000FF"/>
            <w:u w:val="single"/>
            <w:lang w:val="fr-FR" w:eastAsia="fr-FR"/>
          </w:rPr>
          <w:t>article 17)</w:t>
        </w:r>
      </w:hyperlink>
      <w:r w:rsidRPr="001F43AE">
        <w:rPr>
          <w:rFonts w:ascii="Times" w:hAnsi="Times"/>
          <w:lang w:val="fr-FR" w:eastAsia="fr-FR"/>
        </w:rPr>
        <w:t xml:space="preserve"> soumis au contreseing du premier ministre et du ministre de la Justice (</w:t>
      </w:r>
      <w:hyperlink r:id="rId11" w:history="1">
        <w:r w:rsidRPr="001F43AE">
          <w:rPr>
            <w:rFonts w:ascii="Times" w:hAnsi="Times"/>
            <w:color w:val="0000FF"/>
            <w:u w:val="single"/>
            <w:lang w:val="fr-FR" w:eastAsia="fr-FR"/>
          </w:rPr>
          <w:t>art. 19</w:t>
        </w:r>
      </w:hyperlink>
      <w:r w:rsidRPr="001F43AE">
        <w:rPr>
          <w:rFonts w:ascii="Times" w:hAnsi="Times"/>
          <w:lang w:val="fr-FR" w:eastAsia="fr-FR"/>
        </w:rPr>
        <w:t xml:space="preserve">). Son effet est précisé </w:t>
      </w:r>
      <w:hyperlink r:id="rId12" w:history="1">
        <w:r w:rsidRPr="001F43AE">
          <w:rPr>
            <w:rFonts w:ascii="Times" w:hAnsi="Times"/>
            <w:color w:val="0000FF"/>
            <w:u w:val="single"/>
            <w:lang w:val="fr-FR" w:eastAsia="fr-FR"/>
          </w:rPr>
          <w:t>aux articles 133-7 et 133-8 du code pénal</w:t>
        </w:r>
      </w:hyperlink>
      <w:r w:rsidRPr="001F43AE">
        <w:rPr>
          <w:rFonts w:ascii="Times" w:hAnsi="Times"/>
          <w:lang w:val="fr-FR" w:eastAsia="fr-FR"/>
        </w:rPr>
        <w:t> : elle est une dispense d’exécuter la peine mais laisse subsister la condamnation, qui figure telle quelle sur le casier, peut constituer le premier terme de la récidive, et ne fait en rien obstacle aux droits des victimes d’être indemnisées. Il est rarement utilisé depuis la réforme constitutionnelle de 2008 qui a mis fin aux grâces collectives traditionnellement prises le 14 juillet. Il ne reste que des grâces individuelles.</w:t>
      </w:r>
    </w:p>
    <w:p w:rsidR="001F43AE" w:rsidRPr="001F43AE" w:rsidRDefault="001F43AE" w:rsidP="001F43AE">
      <w:pPr>
        <w:spacing w:before="100" w:beforeAutospacing="1" w:after="100" w:afterAutospacing="1"/>
        <w:rPr>
          <w:rFonts w:ascii="Times" w:hAnsi="Times"/>
          <w:lang w:val="fr-FR" w:eastAsia="fr-FR"/>
        </w:rPr>
      </w:pPr>
      <w:r w:rsidRPr="001F43AE">
        <w:rPr>
          <w:rFonts w:ascii="Times" w:hAnsi="Times"/>
          <w:lang w:val="fr-FR" w:eastAsia="fr-FR"/>
        </w:rPr>
        <w:t>Le droit de grâce jouait un rôle considérable à l’époque où la peine de mort était en vigueur, grâce qui pour le coup était une dispense d’exécution au sens propre. Toutes les condamnations à mort étaient soumises au président de la République, donc il n’est pas une exécution capitale qui n’ait été validée par le président en exercice. Depuis l’abolition, elle a perdu de son intérêt, et chacun de ses rares usages entraîne le même rappel de l’origine monarchique de ce pouvoir, comme si c’était un argument pertinent. Le droit de grâce existe dans la plupart des démocraties, notamment aux États-Unis, en Espagne, en Allemagne, au Royaume-Uni, et j’en passe. C’est un contre-pouvoir, et les contre-pouvoirs sont toujours heureux en démocratie. Il n’est pas discrétionnaire puisqu’il est soumis à contreseing et que le premier ministre peut s’y opposer en refusant le contreseing. La grâce a un effet très limité : une dispense d’exécuter tout ou partie d’une peine, sans la faire disparaître, contrairement à l’amnistie, qui pose plus de problèmes, mais n’a plus été utilisée depuis 2002 et semble promise à une quasi-désuétude. Il n’est pas scandaleux que la plus haute autorité de l’État puisse imposer la clémence, du moment qu’il ne peut en aucun cas imposer la sévérité (contrairement au roi qui lui, pouvait prendre un jugement d’acquittement et le transformer en condamnation à mort, ce qui bat en brèche l’argument du résidu monarchique), et cette affaire en est une bonne illustration. On l’a vu, si le principe de la condamnation de Jacqueline Sauvage souffre peu la discussion, n’en déplaise aux militants d’une cause qui dépasse l’accusée, le quantum de la peine semble avoir été décidé par une cour d’assises mal informée sur la portée réelle d’une telle peine. Or il n’existe à ce stade aucune voie de recours sur ce point. La révision n’est possible qu’en cas d’éléments remettant en cause la culpabilité. La peine n’est plus soumise à discussion. Le droit de grâce est la seule échappatoire. Ne nous privons pas de ce garde-fou.</w:t>
      </w:r>
    </w:p>
    <w:p w:rsidR="001F43AE" w:rsidRPr="001F43AE" w:rsidRDefault="001F43AE" w:rsidP="001F43AE">
      <w:pPr>
        <w:spacing w:before="100" w:beforeAutospacing="1" w:after="100" w:afterAutospacing="1"/>
        <w:rPr>
          <w:rFonts w:ascii="Times" w:hAnsi="Times"/>
          <w:lang w:val="fr-FR" w:eastAsia="fr-FR"/>
        </w:rPr>
      </w:pPr>
      <w:r w:rsidRPr="001F43AE">
        <w:rPr>
          <w:rFonts w:ascii="Times" w:hAnsi="Times"/>
          <w:lang w:val="fr-FR" w:eastAsia="fr-FR"/>
        </w:rPr>
        <w:t xml:space="preserve">Ainsi, le président de la République a décidé d’accorder à Jacqueline Sauvage une grâce partielle qui, nous allons voir, prend précisément en compte les éléments qui ont vraisemblablement échappé à la cour. La grâce porte en effet sur 2 ans et 4 mois, et sur l’intégralité de la période de sûreté. Ainsi, l’erreur des dix ans est (partiellement, on va voir) corrigée et la période d’épreuve de 5 ans ne s’applique plus, ce qui n’a rien de scandaleux puisque l’avocat général lui-même n’a jamais envisagé qu’elle s’appliquât. La grâce de 2 ans et 4 mois rapproche la fin de peine à début mars 2019, et la </w:t>
      </w:r>
      <w:proofErr w:type="spellStart"/>
      <w:r w:rsidRPr="001F43AE">
        <w:rPr>
          <w:rFonts w:ascii="Times" w:hAnsi="Times"/>
          <w:lang w:val="fr-FR" w:eastAsia="fr-FR"/>
        </w:rPr>
        <w:t>mi-peine</w:t>
      </w:r>
      <w:proofErr w:type="spellEnd"/>
      <w:r w:rsidRPr="001F43AE">
        <w:rPr>
          <w:rFonts w:ascii="Times" w:hAnsi="Times"/>
          <w:lang w:val="fr-FR" w:eastAsia="fr-FR"/>
        </w:rPr>
        <w:t xml:space="preserve"> à janvier 2018, cette date pouvant encore se rapprocher par l’effet de réductions de peine supplémentaires. C’est pourquoi à ce stade j’avoue mon incompréhension quand j’entends parler de perspectives de libération dès avril prochain. Outre un obstacle juridique supplémentaire certain, j’y arrive, en l’état, un retour à la liberté me paraît difficilement envisageable avant un an, quand le reliquat de 2 ans lui permettra d’obtenir un placement à l’extérieur lui permettant de purger sa peine sans être détenue (comme ce dont a bénéficié Jérôme </w:t>
      </w:r>
      <w:proofErr w:type="spellStart"/>
      <w:r w:rsidRPr="001F43AE">
        <w:rPr>
          <w:rFonts w:ascii="Times" w:hAnsi="Times"/>
          <w:lang w:val="fr-FR" w:eastAsia="fr-FR"/>
        </w:rPr>
        <w:t>Kerviel</w:t>
      </w:r>
      <w:proofErr w:type="spellEnd"/>
      <w:r w:rsidRPr="001F43AE">
        <w:rPr>
          <w:rFonts w:ascii="Times" w:hAnsi="Times"/>
          <w:lang w:val="fr-FR" w:eastAsia="fr-FR"/>
        </w:rPr>
        <w:t>, qui n’a été détenu que 150 jours sur une peine de 3 années), conformément à l’</w:t>
      </w:r>
      <w:hyperlink r:id="rId13" w:history="1">
        <w:r w:rsidRPr="001F43AE">
          <w:rPr>
            <w:rFonts w:ascii="Times" w:hAnsi="Times"/>
            <w:color w:val="0000FF"/>
            <w:u w:val="single"/>
            <w:lang w:val="fr-FR" w:eastAsia="fr-FR"/>
          </w:rPr>
          <w:t>article 723-1 du code de procédure pénale</w:t>
        </w:r>
      </w:hyperlink>
      <w:r w:rsidRPr="001F43AE">
        <w:rPr>
          <w:rFonts w:ascii="Times" w:hAnsi="Times"/>
          <w:lang w:val="fr-FR" w:eastAsia="fr-FR"/>
        </w:rPr>
        <w:t xml:space="preserve">, avant d’enchaîner sur la libération conditionnelle. Quelque chose doit m’avoir échappé, et je ne doute pas que des lecteurs plus éclairés que moi </w:t>
      </w:r>
      <w:proofErr w:type="gramStart"/>
      <w:r w:rsidRPr="001F43AE">
        <w:rPr>
          <w:rFonts w:ascii="Times" w:hAnsi="Times"/>
          <w:lang w:val="fr-FR" w:eastAsia="fr-FR"/>
        </w:rPr>
        <w:t>pointeront</w:t>
      </w:r>
      <w:proofErr w:type="gramEnd"/>
      <w:r w:rsidRPr="001F43AE">
        <w:rPr>
          <w:rFonts w:ascii="Times" w:hAnsi="Times"/>
          <w:lang w:val="fr-FR" w:eastAsia="fr-FR"/>
        </w:rPr>
        <w:t xml:space="preserve"> mon erreur dans les commentaires, et je vous mettrai les explicitation dans un paragraphe inséré ci-dessous.</w:t>
      </w:r>
    </w:p>
    <w:p w:rsidR="001F43AE" w:rsidRPr="001F43AE" w:rsidRDefault="001F43AE" w:rsidP="001F43AE">
      <w:pPr>
        <w:spacing w:before="100" w:beforeAutospacing="1" w:after="100" w:afterAutospacing="1"/>
        <w:rPr>
          <w:rFonts w:ascii="Times" w:hAnsi="Times"/>
          <w:lang w:val="fr-FR" w:eastAsia="fr-FR"/>
        </w:rPr>
      </w:pPr>
      <w:r w:rsidRPr="001F43AE">
        <w:rPr>
          <w:rFonts w:ascii="Times" w:hAnsi="Times"/>
          <w:b/>
          <w:bCs/>
          <w:lang w:val="fr-FR" w:eastAsia="fr-FR"/>
        </w:rPr>
        <w:t>Paragraphe inséré</w:t>
      </w:r>
      <w:r w:rsidRPr="001F43AE">
        <w:rPr>
          <w:rFonts w:ascii="Times" w:hAnsi="Times"/>
          <w:lang w:val="fr-FR" w:eastAsia="fr-FR"/>
        </w:rPr>
        <w:t xml:space="preserve"> : la clé de l’énigme se trouve aux articles 720-2 et 732-7 du code de procédure pénale. Le premier exclut toute mesure de sortie pendant la période de sûreté </w:t>
      </w:r>
      <w:r w:rsidRPr="001F43AE">
        <w:rPr>
          <w:rFonts w:ascii="Times" w:hAnsi="Times"/>
          <w:b/>
          <w:bCs/>
          <w:lang w:val="fr-FR" w:eastAsia="fr-FR"/>
        </w:rPr>
        <w:t>sauf</w:t>
      </w:r>
      <w:r w:rsidRPr="001F43AE">
        <w:rPr>
          <w:rFonts w:ascii="Times" w:hAnsi="Times"/>
          <w:lang w:val="fr-FR" w:eastAsia="fr-FR"/>
        </w:rPr>
        <w:t xml:space="preserve"> le placement sous bracelet électronique (on parle de placement sous surveillance électronique). Le second permet d’ordonner un placement sous surveillance électronique probatoire un an avant la fin de la période de sureté. Ce qui ouvrait la possibilité de libération sous surveillance électronique un an avant la fin de la période de sureté en avril 2018, soit avril 2017. L’erreur de l’avocat général n’est donc plus que de 3 mois, ce qui n’est pas si mal vu les céphalées que ce billet est en train de me donner. L’obstacle de la période de sureté étant levé, et une grâce portant sur 2 ans et 4 mois, ça fait 35 mois à effectuer, soit 17,5 mois pour la </w:t>
      </w:r>
      <w:proofErr w:type="spellStart"/>
      <w:r w:rsidRPr="001F43AE">
        <w:rPr>
          <w:rFonts w:ascii="Times" w:hAnsi="Times"/>
          <w:lang w:val="fr-FR" w:eastAsia="fr-FR"/>
        </w:rPr>
        <w:t>mi-peine</w:t>
      </w:r>
      <w:proofErr w:type="spellEnd"/>
      <w:r w:rsidRPr="001F43AE">
        <w:rPr>
          <w:rFonts w:ascii="Times" w:hAnsi="Times"/>
          <w:lang w:val="fr-FR" w:eastAsia="fr-FR"/>
        </w:rPr>
        <w:t>, donc liberté conditionnelle possible en avril 2017, et placement sous surveillance électronique probatoire en avril 2016, nous voilà retombés sur nos pieds.</w:t>
      </w:r>
    </w:p>
    <w:p w:rsidR="001F43AE" w:rsidRPr="001F43AE" w:rsidRDefault="001F43AE" w:rsidP="001F43AE">
      <w:pPr>
        <w:spacing w:before="100" w:beforeAutospacing="1" w:after="100" w:afterAutospacing="1"/>
        <w:rPr>
          <w:rFonts w:ascii="Times" w:hAnsi="Times"/>
          <w:lang w:val="fr-FR" w:eastAsia="fr-FR"/>
        </w:rPr>
      </w:pPr>
      <w:r w:rsidRPr="001F43AE">
        <w:rPr>
          <w:rFonts w:ascii="Times" w:hAnsi="Times"/>
          <w:lang w:val="fr-FR" w:eastAsia="fr-FR"/>
        </w:rPr>
        <w:t>Un autre obstacle se dresse encore devant la porte de la prison de Jacqueline Sauvage.</w:t>
      </w:r>
      <w:hyperlink r:id="rId14" w:anchor="LEGIARTI000024460301" w:history="1">
        <w:r w:rsidRPr="001F43AE">
          <w:rPr>
            <w:rFonts w:ascii="Times" w:hAnsi="Times"/>
            <w:color w:val="0000FF"/>
            <w:u w:val="single"/>
            <w:lang w:val="fr-FR" w:eastAsia="fr-FR"/>
          </w:rPr>
          <w:t xml:space="preserve"> L’article 730-2 du code de procédure pénale</w:t>
        </w:r>
      </w:hyperlink>
      <w:r w:rsidRPr="001F43AE">
        <w:rPr>
          <w:rFonts w:ascii="Times" w:hAnsi="Times"/>
          <w:lang w:val="fr-FR" w:eastAsia="fr-FR"/>
        </w:rPr>
        <w:t xml:space="preserve">, créé par une des lois sécuritaires de l’ère Sarkozy, </w:t>
      </w:r>
      <w:hyperlink r:id="rId15" w:history="1">
        <w:r w:rsidRPr="001F43AE">
          <w:rPr>
            <w:rFonts w:ascii="Times" w:hAnsi="Times"/>
            <w:color w:val="0000FF"/>
            <w:u w:val="single"/>
            <w:lang w:val="fr-FR" w:eastAsia="fr-FR"/>
          </w:rPr>
          <w:t>celle instituant aussi les jurés en correctionnelle,</w:t>
        </w:r>
      </w:hyperlink>
      <w:r w:rsidRPr="001F43AE">
        <w:rPr>
          <w:rFonts w:ascii="Times" w:hAnsi="Times"/>
          <w:lang w:val="fr-FR" w:eastAsia="fr-FR"/>
        </w:rPr>
        <w:t xml:space="preserve"> une autre grande réussite, impose que les personnes condamnées à 10 ans ou plus pour un des crimes mentionnés à </w:t>
      </w:r>
      <w:hyperlink r:id="rId16" w:history="1">
        <w:r w:rsidRPr="001F43AE">
          <w:rPr>
            <w:rFonts w:ascii="Times" w:hAnsi="Times"/>
            <w:color w:val="0000FF"/>
            <w:u w:val="single"/>
            <w:lang w:val="fr-FR" w:eastAsia="fr-FR"/>
          </w:rPr>
          <w:t>l’article 706-53-13</w:t>
        </w:r>
      </w:hyperlink>
      <w:r w:rsidRPr="001F43AE">
        <w:rPr>
          <w:rFonts w:ascii="Times" w:hAnsi="Times"/>
          <w:lang w:val="fr-FR" w:eastAsia="fr-FR"/>
        </w:rPr>
        <w:t xml:space="preserve">, liste créée par une autres des lois sécuritaires de l’ère Sarkozy, </w:t>
      </w:r>
      <w:hyperlink r:id="rId17" w:history="1">
        <w:r w:rsidRPr="001F43AE">
          <w:rPr>
            <w:rFonts w:ascii="Times" w:hAnsi="Times"/>
            <w:color w:val="0000FF"/>
            <w:u w:val="single"/>
            <w:lang w:val="fr-FR" w:eastAsia="fr-FR"/>
          </w:rPr>
          <w:t>celle créant la rétention de sûreté</w:t>
        </w:r>
      </w:hyperlink>
      <w:r w:rsidRPr="001F43AE">
        <w:rPr>
          <w:rFonts w:ascii="Times" w:hAnsi="Times"/>
          <w:lang w:val="fr-FR" w:eastAsia="fr-FR"/>
        </w:rPr>
        <w:t>, liste où figure le meurtre aggravé, que ces personnes donc fassent l’objet d’un double examen devant la commission pluridisciplinaire des mesures de sûreté. C’est la loi. Et la grâce présidentielle s’applique au temps de détention mais pas aux mesures de sûreté entourant la remise en liberté. Donc, quand bien même une remise en liberté pourrait s’envisager dès avril, en pratique, il est impossible que ces examens aient lieu dans un laps de temps aussi bref. Mon confrère Étienne Noël, bien meilleur spécialiste que moi en matière pénitentiaire, évalue ce délai à neuf mois au moins, et je lui fais confiance.</w:t>
      </w:r>
    </w:p>
    <w:p w:rsidR="001F43AE" w:rsidRPr="001F43AE" w:rsidRDefault="001F43AE" w:rsidP="001F43AE">
      <w:pPr>
        <w:spacing w:before="100" w:beforeAutospacing="1" w:after="100" w:afterAutospacing="1"/>
        <w:rPr>
          <w:rFonts w:ascii="Times" w:hAnsi="Times"/>
          <w:lang w:val="fr-FR" w:eastAsia="fr-FR"/>
        </w:rPr>
      </w:pPr>
      <w:r w:rsidRPr="001F43AE">
        <w:rPr>
          <w:rFonts w:ascii="Times" w:hAnsi="Times"/>
          <w:lang w:val="fr-FR" w:eastAsia="fr-FR"/>
        </w:rPr>
        <w:t>Je vous avais dit que le droit de l’application des peines était un droit technique ; et encore, je n’ai abordé que la surface de la matière, et je crains d’avoir déjà été indigeste. C’est une des matières liées au pénal la plus touchée par l’empilement sans rime ni raison de textes sécuritaires votés pour des effets d’annonce, sans recherche d’une cohérence et d’une lisibilité qui seraient pourtant de bon aloi, aboutissant à des usines à gaz que même les professionnels maitrisent mal, hormis ceux plongés dedans au quotidien. C’est un retour de bâton que se prennent les politiques, quand leur monstre de Frankenstein se retourne contre eux en frappant une personne, ici Jacqueline Sauvage, à cent mille lieues du profil rêvé du criminel d’habitude caricatural qu’ils ont à l’esprit. Je vous présente la réalité. Elle a toujours plus d’imagination que le législateur.</w:t>
      </w:r>
    </w:p>
    <w:p w:rsidR="001F43AE" w:rsidRPr="001F43AE" w:rsidRDefault="001F43AE" w:rsidP="001F43AE">
      <w:pPr>
        <w:spacing w:before="100" w:beforeAutospacing="1" w:after="100" w:afterAutospacing="1"/>
        <w:outlineLvl w:val="3"/>
        <w:rPr>
          <w:rFonts w:ascii="Times" w:eastAsia="Times New Roman" w:hAnsi="Times"/>
          <w:b/>
          <w:bCs/>
          <w:sz w:val="24"/>
          <w:szCs w:val="24"/>
          <w:lang w:val="fr-FR" w:eastAsia="fr-FR"/>
        </w:rPr>
      </w:pPr>
      <w:r w:rsidRPr="001F43AE">
        <w:rPr>
          <w:rFonts w:ascii="Times" w:eastAsia="Times New Roman" w:hAnsi="Times"/>
          <w:b/>
          <w:bCs/>
          <w:sz w:val="24"/>
          <w:szCs w:val="24"/>
          <w:lang w:val="fr-FR" w:eastAsia="fr-FR"/>
        </w:rPr>
        <w:t>Note</w:t>
      </w:r>
    </w:p>
    <w:p w:rsidR="001F43AE" w:rsidRPr="001F43AE" w:rsidRDefault="001F43AE" w:rsidP="001F43AE">
      <w:pPr>
        <w:spacing w:before="100" w:beforeAutospacing="1" w:after="100" w:afterAutospacing="1"/>
        <w:rPr>
          <w:rFonts w:ascii="Times" w:hAnsi="Times"/>
          <w:lang w:val="fr-FR" w:eastAsia="fr-FR"/>
        </w:rPr>
      </w:pPr>
      <w:r w:rsidRPr="001F43AE">
        <w:rPr>
          <w:rFonts w:ascii="Times" w:hAnsi="Times"/>
          <w:lang w:val="fr-FR" w:eastAsia="fr-FR"/>
        </w:rPr>
        <w:t>[</w:t>
      </w:r>
      <w:hyperlink r:id="rId18" w:anchor="rev-wiki-footnote-1" w:history="1">
        <w:r w:rsidRPr="001F43AE">
          <w:rPr>
            <w:rFonts w:ascii="Times" w:hAnsi="Times"/>
            <w:color w:val="0000FF"/>
            <w:u w:val="single"/>
            <w:lang w:val="fr-FR" w:eastAsia="fr-FR"/>
          </w:rPr>
          <w:t>1</w:t>
        </w:r>
      </w:hyperlink>
      <w:r w:rsidRPr="001F43AE">
        <w:rPr>
          <w:rFonts w:ascii="Times" w:hAnsi="Times"/>
          <w:lang w:val="fr-FR" w:eastAsia="fr-FR"/>
        </w:rPr>
        <w:t>] En première instance, 6 jurés et 3 juges siègent, et il faut que la culpabilité soit votée par 6 voix au moins, la peine étant décidée à la majorité absolue, soit 5 voix moins ; en appel, la culpabilité doit être votée par 8 voix au moins des 9 jurés et 3 juges, et la peine l’est à la majorité absolue, soit 7 voix.</w:t>
      </w:r>
    </w:p>
    <w:p w:rsidR="00700937" w:rsidRDefault="00700937">
      <w:bookmarkStart w:id="0" w:name="_GoBack"/>
      <w:bookmarkEnd w:id="0"/>
    </w:p>
    <w:sectPr w:rsidR="00700937" w:rsidSect="00582BF3">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3">
    <w:altName w:val="Times"/>
    <w:panose1 w:val="00000000000000000000"/>
    <w:charset w:val="4D"/>
    <w:family w:val="auto"/>
    <w:notTrueType/>
    <w:pitch w:val="variable"/>
    <w:sig w:usb0="03000000" w:usb1="00000000" w:usb2="00000000" w:usb3="00000000" w:csb0="00000001"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宋体">
    <w:charset w:val="50"/>
    <w:family w:val="auto"/>
    <w:pitch w:val="variable"/>
    <w:sig w:usb0="00000001" w:usb1="080E0000" w:usb2="00000010" w:usb3="00000000" w:csb0="0004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3AE"/>
    <w:rsid w:val="0000046E"/>
    <w:rsid w:val="000D457E"/>
    <w:rsid w:val="001F43AE"/>
    <w:rsid w:val="002114FD"/>
    <w:rsid w:val="00272562"/>
    <w:rsid w:val="004860F2"/>
    <w:rsid w:val="00582BF3"/>
    <w:rsid w:val="005D0D75"/>
    <w:rsid w:val="00632FCC"/>
    <w:rsid w:val="00644A65"/>
    <w:rsid w:val="006B3498"/>
    <w:rsid w:val="00700937"/>
    <w:rsid w:val="007D64EC"/>
    <w:rsid w:val="008930D1"/>
    <w:rsid w:val="008F0DE0"/>
    <w:rsid w:val="009568F0"/>
    <w:rsid w:val="00A5699A"/>
    <w:rsid w:val="00A704C7"/>
    <w:rsid w:val="00AB5133"/>
    <w:rsid w:val="00B136F4"/>
    <w:rsid w:val="00C04759"/>
    <w:rsid w:val="00C352BC"/>
    <w:rsid w:val="00C45776"/>
    <w:rsid w:val="00C62D8B"/>
    <w:rsid w:val="00C90339"/>
    <w:rsid w:val="00D95D2B"/>
    <w:rsid w:val="00E13DE8"/>
    <w:rsid w:val="00EF223A"/>
    <w:rsid w:val="00F77C6A"/>
    <w:rsid w:val="00FB6CC4"/>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7BFEC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3" w:eastAsiaTheme="minorEastAsia" w:hAnsiTheme="minorHAnsi" w:cs="Times New Roman"/>
        <w:lang w:val="fr-FR"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68F0"/>
    <w:rPr>
      <w:lang w:val="en-US"/>
    </w:rPr>
  </w:style>
  <w:style w:type="paragraph" w:styleId="Titre2">
    <w:name w:val="heading 2"/>
    <w:basedOn w:val="Normal"/>
    <w:link w:val="Titre2Car"/>
    <w:uiPriority w:val="9"/>
    <w:qFormat/>
    <w:rsid w:val="001F43AE"/>
    <w:pPr>
      <w:spacing w:before="100" w:beforeAutospacing="1" w:after="100" w:afterAutospacing="1"/>
      <w:outlineLvl w:val="1"/>
    </w:pPr>
    <w:rPr>
      <w:rFonts w:ascii="Times" w:hAnsi="Times"/>
      <w:b/>
      <w:bCs/>
      <w:sz w:val="36"/>
      <w:szCs w:val="36"/>
      <w:lang w:val="fr-FR" w:eastAsia="fr-FR"/>
    </w:rPr>
  </w:style>
  <w:style w:type="paragraph" w:styleId="Titre4">
    <w:name w:val="heading 4"/>
    <w:basedOn w:val="Normal"/>
    <w:link w:val="Titre4Car"/>
    <w:uiPriority w:val="9"/>
    <w:qFormat/>
    <w:rsid w:val="001F43AE"/>
    <w:pPr>
      <w:spacing w:before="100" w:beforeAutospacing="1" w:after="100" w:afterAutospacing="1"/>
      <w:outlineLvl w:val="3"/>
    </w:pPr>
    <w:rPr>
      <w:rFonts w:ascii="Times" w:hAnsi="Times"/>
      <w:b/>
      <w:bCs/>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itation">
    <w:name w:val="citation"/>
    <w:basedOn w:val="Normal"/>
    <w:qFormat/>
    <w:rsid w:val="008F0DE0"/>
    <w:pPr>
      <w:spacing w:before="100" w:beforeAutospacing="1"/>
      <w:ind w:left="567"/>
    </w:pPr>
    <w:rPr>
      <w:rFonts w:eastAsia="宋体"/>
      <w:sz w:val="22"/>
    </w:rPr>
  </w:style>
  <w:style w:type="character" w:customStyle="1" w:styleId="Titre2Car">
    <w:name w:val="Titre 2 Car"/>
    <w:basedOn w:val="Policepardfaut"/>
    <w:link w:val="Titre2"/>
    <w:uiPriority w:val="9"/>
    <w:rsid w:val="001F43AE"/>
    <w:rPr>
      <w:rFonts w:ascii="Times" w:hAnsi="Times"/>
      <w:b/>
      <w:bCs/>
      <w:sz w:val="36"/>
      <w:szCs w:val="36"/>
      <w:lang w:eastAsia="fr-FR"/>
    </w:rPr>
  </w:style>
  <w:style w:type="character" w:customStyle="1" w:styleId="Titre4Car">
    <w:name w:val="Titre 4 Car"/>
    <w:basedOn w:val="Policepardfaut"/>
    <w:link w:val="Titre4"/>
    <w:uiPriority w:val="9"/>
    <w:rsid w:val="001F43AE"/>
    <w:rPr>
      <w:rFonts w:ascii="Times" w:hAnsi="Times"/>
      <w:b/>
      <w:bCs/>
      <w:sz w:val="24"/>
      <w:szCs w:val="24"/>
      <w:lang w:eastAsia="fr-FR"/>
    </w:rPr>
  </w:style>
  <w:style w:type="character" w:styleId="Lienhypertexte">
    <w:name w:val="Hyperlink"/>
    <w:basedOn w:val="Policepardfaut"/>
    <w:uiPriority w:val="99"/>
    <w:semiHidden/>
    <w:unhideWhenUsed/>
    <w:rsid w:val="001F43AE"/>
    <w:rPr>
      <w:color w:val="0000FF"/>
      <w:u w:val="single"/>
    </w:rPr>
  </w:style>
  <w:style w:type="paragraph" w:customStyle="1" w:styleId="day-date">
    <w:name w:val="day-date"/>
    <w:basedOn w:val="Normal"/>
    <w:rsid w:val="001F43AE"/>
    <w:pPr>
      <w:spacing w:before="100" w:beforeAutospacing="1" w:after="100" w:afterAutospacing="1"/>
    </w:pPr>
    <w:rPr>
      <w:rFonts w:ascii="Times" w:hAnsi="Times"/>
      <w:lang w:val="fr-FR" w:eastAsia="fr-FR"/>
    </w:rPr>
  </w:style>
  <w:style w:type="paragraph" w:styleId="NormalWeb">
    <w:name w:val="Normal (Web)"/>
    <w:basedOn w:val="Normal"/>
    <w:uiPriority w:val="99"/>
    <w:semiHidden/>
    <w:unhideWhenUsed/>
    <w:rsid w:val="001F43AE"/>
    <w:pPr>
      <w:spacing w:before="100" w:beforeAutospacing="1" w:after="100" w:afterAutospacing="1"/>
    </w:pPr>
    <w:rPr>
      <w:rFonts w:ascii="Times" w:hAnsi="Times"/>
      <w:lang w:val="fr-FR" w:eastAsia="fr-FR"/>
    </w:rPr>
  </w:style>
  <w:style w:type="character" w:styleId="Accentuation">
    <w:name w:val="Emphasis"/>
    <w:basedOn w:val="Policepardfaut"/>
    <w:uiPriority w:val="20"/>
    <w:qFormat/>
    <w:rsid w:val="001F43AE"/>
    <w:rPr>
      <w:i/>
      <w:iCs/>
    </w:rPr>
  </w:style>
  <w:style w:type="character" w:styleId="lev">
    <w:name w:val="Strong"/>
    <w:basedOn w:val="Policepardfaut"/>
    <w:uiPriority w:val="22"/>
    <w:qFormat/>
    <w:rsid w:val="001F43AE"/>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3" w:eastAsiaTheme="minorEastAsia" w:hAnsiTheme="minorHAnsi" w:cs="Times New Roman"/>
        <w:lang w:val="fr-FR"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68F0"/>
    <w:rPr>
      <w:lang w:val="en-US"/>
    </w:rPr>
  </w:style>
  <w:style w:type="paragraph" w:styleId="Titre2">
    <w:name w:val="heading 2"/>
    <w:basedOn w:val="Normal"/>
    <w:link w:val="Titre2Car"/>
    <w:uiPriority w:val="9"/>
    <w:qFormat/>
    <w:rsid w:val="001F43AE"/>
    <w:pPr>
      <w:spacing w:before="100" w:beforeAutospacing="1" w:after="100" w:afterAutospacing="1"/>
      <w:outlineLvl w:val="1"/>
    </w:pPr>
    <w:rPr>
      <w:rFonts w:ascii="Times" w:hAnsi="Times"/>
      <w:b/>
      <w:bCs/>
      <w:sz w:val="36"/>
      <w:szCs w:val="36"/>
      <w:lang w:val="fr-FR" w:eastAsia="fr-FR"/>
    </w:rPr>
  </w:style>
  <w:style w:type="paragraph" w:styleId="Titre4">
    <w:name w:val="heading 4"/>
    <w:basedOn w:val="Normal"/>
    <w:link w:val="Titre4Car"/>
    <w:uiPriority w:val="9"/>
    <w:qFormat/>
    <w:rsid w:val="001F43AE"/>
    <w:pPr>
      <w:spacing w:before="100" w:beforeAutospacing="1" w:after="100" w:afterAutospacing="1"/>
      <w:outlineLvl w:val="3"/>
    </w:pPr>
    <w:rPr>
      <w:rFonts w:ascii="Times" w:hAnsi="Times"/>
      <w:b/>
      <w:bCs/>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itation">
    <w:name w:val="citation"/>
    <w:basedOn w:val="Normal"/>
    <w:qFormat/>
    <w:rsid w:val="008F0DE0"/>
    <w:pPr>
      <w:spacing w:before="100" w:beforeAutospacing="1"/>
      <w:ind w:left="567"/>
    </w:pPr>
    <w:rPr>
      <w:rFonts w:eastAsia="宋体"/>
      <w:sz w:val="22"/>
    </w:rPr>
  </w:style>
  <w:style w:type="character" w:customStyle="1" w:styleId="Titre2Car">
    <w:name w:val="Titre 2 Car"/>
    <w:basedOn w:val="Policepardfaut"/>
    <w:link w:val="Titre2"/>
    <w:uiPriority w:val="9"/>
    <w:rsid w:val="001F43AE"/>
    <w:rPr>
      <w:rFonts w:ascii="Times" w:hAnsi="Times"/>
      <w:b/>
      <w:bCs/>
      <w:sz w:val="36"/>
      <w:szCs w:val="36"/>
      <w:lang w:eastAsia="fr-FR"/>
    </w:rPr>
  </w:style>
  <w:style w:type="character" w:customStyle="1" w:styleId="Titre4Car">
    <w:name w:val="Titre 4 Car"/>
    <w:basedOn w:val="Policepardfaut"/>
    <w:link w:val="Titre4"/>
    <w:uiPriority w:val="9"/>
    <w:rsid w:val="001F43AE"/>
    <w:rPr>
      <w:rFonts w:ascii="Times" w:hAnsi="Times"/>
      <w:b/>
      <w:bCs/>
      <w:sz w:val="24"/>
      <w:szCs w:val="24"/>
      <w:lang w:eastAsia="fr-FR"/>
    </w:rPr>
  </w:style>
  <w:style w:type="character" w:styleId="Lienhypertexte">
    <w:name w:val="Hyperlink"/>
    <w:basedOn w:val="Policepardfaut"/>
    <w:uiPriority w:val="99"/>
    <w:semiHidden/>
    <w:unhideWhenUsed/>
    <w:rsid w:val="001F43AE"/>
    <w:rPr>
      <w:color w:val="0000FF"/>
      <w:u w:val="single"/>
    </w:rPr>
  </w:style>
  <w:style w:type="paragraph" w:customStyle="1" w:styleId="day-date">
    <w:name w:val="day-date"/>
    <w:basedOn w:val="Normal"/>
    <w:rsid w:val="001F43AE"/>
    <w:pPr>
      <w:spacing w:before="100" w:beforeAutospacing="1" w:after="100" w:afterAutospacing="1"/>
    </w:pPr>
    <w:rPr>
      <w:rFonts w:ascii="Times" w:hAnsi="Times"/>
      <w:lang w:val="fr-FR" w:eastAsia="fr-FR"/>
    </w:rPr>
  </w:style>
  <w:style w:type="paragraph" w:styleId="NormalWeb">
    <w:name w:val="Normal (Web)"/>
    <w:basedOn w:val="Normal"/>
    <w:uiPriority w:val="99"/>
    <w:semiHidden/>
    <w:unhideWhenUsed/>
    <w:rsid w:val="001F43AE"/>
    <w:pPr>
      <w:spacing w:before="100" w:beforeAutospacing="1" w:after="100" w:afterAutospacing="1"/>
    </w:pPr>
    <w:rPr>
      <w:rFonts w:ascii="Times" w:hAnsi="Times"/>
      <w:lang w:val="fr-FR" w:eastAsia="fr-FR"/>
    </w:rPr>
  </w:style>
  <w:style w:type="character" w:styleId="Accentuation">
    <w:name w:val="Emphasis"/>
    <w:basedOn w:val="Policepardfaut"/>
    <w:uiPriority w:val="20"/>
    <w:qFormat/>
    <w:rsid w:val="001F43AE"/>
    <w:rPr>
      <w:i/>
      <w:iCs/>
    </w:rPr>
  </w:style>
  <w:style w:type="character" w:styleId="lev">
    <w:name w:val="Strong"/>
    <w:basedOn w:val="Policepardfaut"/>
    <w:uiPriority w:val="22"/>
    <w:qFormat/>
    <w:rsid w:val="001F43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0314024">
      <w:bodyDiv w:val="1"/>
      <w:marLeft w:val="0"/>
      <w:marRight w:val="0"/>
      <w:marTop w:val="0"/>
      <w:marBottom w:val="0"/>
      <w:divBdr>
        <w:top w:val="none" w:sz="0" w:space="0" w:color="auto"/>
        <w:left w:val="none" w:sz="0" w:space="0" w:color="auto"/>
        <w:bottom w:val="none" w:sz="0" w:space="0" w:color="auto"/>
        <w:right w:val="none" w:sz="0" w:space="0" w:color="auto"/>
      </w:divBdr>
      <w:divsChild>
        <w:div w:id="758673514">
          <w:marLeft w:val="0"/>
          <w:marRight w:val="0"/>
          <w:marTop w:val="0"/>
          <w:marBottom w:val="0"/>
          <w:divBdr>
            <w:top w:val="none" w:sz="0" w:space="0" w:color="auto"/>
            <w:left w:val="none" w:sz="0" w:space="0" w:color="auto"/>
            <w:bottom w:val="none" w:sz="0" w:space="0" w:color="auto"/>
            <w:right w:val="none" w:sz="0" w:space="0" w:color="auto"/>
          </w:divBdr>
          <w:divsChild>
            <w:div w:id="81665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legifrance.gouv.fr/affichCodeArticle.do;jsessionid=94A475682C998DF3071690278B09C419.tpdila14v_1?idArticle=LEGIARTI000026268286&amp;cidTexte=LEGITEXT000006070719&amp;dateTexte=20160204" TargetMode="External"/><Relationship Id="rId20" Type="http://schemas.openxmlformats.org/officeDocument/2006/relationships/theme" Target="theme/theme1.xml"/><Relationship Id="rId10" Type="http://schemas.openxmlformats.org/officeDocument/2006/relationships/hyperlink" Target="http://www.legifrance.gouv.fr/affichTexteArticle.do;jsessionid=69005ED24AD6709AAC0EF88F87456EBA.tpdila14v_1?idArticle=LEGIARTI000019241010&amp;cidTexte=LEGITEXT000006071194&amp;dateTexte=20160204" TargetMode="External"/><Relationship Id="rId11" Type="http://schemas.openxmlformats.org/officeDocument/2006/relationships/hyperlink" Target="http://www.legifrance.gouv.fr/affichTexteArticle.do;jsessionid=94A475682C998DF3071690278B09C419.tpdila14v_1?idArticle=LEGIARTI000006527482&amp;cidTexte=LEGITEXT000006071194&amp;dateTexte=20160204&amp;categorieLien=id&amp;oldAction=&amp;nbResultRech=" TargetMode="External"/><Relationship Id="rId12" Type="http://schemas.openxmlformats.org/officeDocument/2006/relationships/hyperlink" Target="http://www.legifrance.gouv.fr/affichCode.do;jsessionid=69005ED24AD6709AAC0EF88F87456EBA.tpdila14v_1?idSectionTA=LEGISCTA000006165271&amp;cidTexte=LEGITEXT000006070719&amp;dateTexte=20160204" TargetMode="External"/><Relationship Id="rId13" Type="http://schemas.openxmlformats.org/officeDocument/2006/relationships/hyperlink" Target="http://www.legifrance.gouv.fr/affichCodeArticle.do;jsessionid=94A475682C998DF3071690278B09C419.tpdila14v_1?idArticle=LEGIARTI000029370820&amp;cidTexte=LEGITEXT000006071154&amp;dateTexte=20160204" TargetMode="External"/><Relationship Id="rId14" Type="http://schemas.openxmlformats.org/officeDocument/2006/relationships/hyperlink" Target="http://www.legifrance.gouv.fr/affichCodeArticle.do;jsessionid=3A857238F47921A3C82F9C3A66C41C2A.tpdila14v_1?cidTexte=LEGITEXT000006071154&amp;idArticle=LEGIARTI000024460301&amp;dateTexte=20160204&amp;categorieLien=cid" TargetMode="External"/><Relationship Id="rId15" Type="http://schemas.openxmlformats.org/officeDocument/2006/relationships/hyperlink" Target="http://www.legifrance.gouv.fr/affichTexte.do?cidTexte=JORFTEXT000024456769&amp;categorieLien=id" TargetMode="External"/><Relationship Id="rId16" Type="http://schemas.openxmlformats.org/officeDocument/2006/relationships/hyperlink" Target="http://www.legifrance.gouv.fr/affichCodeArticle.do?cidTexte=LEGITEXT000006071154&amp;idArticle=LEGIARTI000018164416&amp;dateTexte=&amp;categorieLien=cid" TargetMode="External"/><Relationship Id="rId17" Type="http://schemas.openxmlformats.org/officeDocument/2006/relationships/hyperlink" Target="http://www.legifrance.gouv.fr/affichTexte.do?cidTexte=JORFTEXT000018162705&amp;categorieLien=id" TargetMode="External"/><Relationship Id="rId18" Type="http://schemas.openxmlformats.org/officeDocument/2006/relationships/hyperlink" Target="http://www.maitre-eolas.fr/" TargetMode="External"/><Relationship Id="rId19"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maitre-eolas.fr/post/2016/02/03/De-gr%C3%A2ce" TargetMode="External"/><Relationship Id="rId6" Type="http://schemas.openxmlformats.org/officeDocument/2006/relationships/hyperlink" Target="http://www.legifrance.gouv.fr/affichCodeArticle.do;jsessionid=94A475682C998DF3071690278B09C419.tpdila14v_1?idArticle=LEGIARTI000029370714&amp;cidTexte=LEGITEXT000006071154&amp;dateTexte=20160204" TargetMode="External"/><Relationship Id="rId7" Type="http://schemas.openxmlformats.org/officeDocument/2006/relationships/hyperlink" Target="http://www.legifrance.gouv.fr/affichCode.do;jsessionid=94A475682C998DF3071690278B09C419.tpdila14v_1?idSectionTA=LEGISCTA000006138144&amp;cidTexte=LEGITEXT000006071154&amp;dateTexte=20160204" TargetMode="External"/><Relationship Id="rId8" Type="http://schemas.openxmlformats.org/officeDocument/2006/relationships/hyperlink" Target="http://www.legifrance.gouv.fr/affichCodeArticle.do?cidTexte=LEGITEXT000006070719&amp;idArticle=LEGIARTI000006417401&amp;dateTexte=&amp;categorieLien=cid"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3238</Words>
  <Characters>17843</Characters>
  <Application>Microsoft Macintosh Word</Application>
  <DocSecurity>0</DocSecurity>
  <Lines>258</Lines>
  <Paragraphs>34</Paragraphs>
  <ScaleCrop>false</ScaleCrop>
  <Company/>
  <LinksUpToDate>false</LinksUpToDate>
  <CharactersWithSpaces>21047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cp:revision>
  <dcterms:created xsi:type="dcterms:W3CDTF">2016-02-05T18:17:00Z</dcterms:created>
  <dcterms:modified xsi:type="dcterms:W3CDTF">2016-02-05T18:17:00Z</dcterms:modified>
</cp:coreProperties>
</file>