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F313" w14:textId="77777777" w:rsidR="00820E70" w:rsidRPr="0010389B" w:rsidRDefault="00505CC6" w:rsidP="001C6EAC">
      <w:pPr>
        <w:jc w:val="center"/>
        <w:rPr>
          <w:b/>
        </w:rPr>
      </w:pPr>
      <w:r w:rsidRPr="0010389B">
        <w:rPr>
          <w:b/>
        </w:rPr>
        <w:t>“To know or not to know?”</w:t>
      </w:r>
    </w:p>
    <w:p w14:paraId="0AD1DC60" w14:textId="743A2662" w:rsidR="00505CC6" w:rsidRPr="0010389B" w:rsidRDefault="00505CC6" w:rsidP="001C6EAC">
      <w:pPr>
        <w:jc w:val="center"/>
        <w:rPr>
          <w:b/>
          <w:lang w:eastAsia="zh-TW"/>
        </w:rPr>
      </w:pPr>
      <w:r w:rsidRPr="0010389B">
        <w:rPr>
          <w:b/>
        </w:rPr>
        <w:t xml:space="preserve">The notion of </w:t>
      </w:r>
      <w:r w:rsidRPr="0010389B">
        <w:rPr>
          <w:rFonts w:hint="eastAsia"/>
          <w:b/>
          <w:lang w:eastAsia="zh-TW"/>
        </w:rPr>
        <w:t>犯時不知</w:t>
      </w:r>
      <w:r w:rsidRPr="0010389B">
        <w:rPr>
          <w:b/>
          <w:lang w:eastAsia="zh-TW"/>
        </w:rPr>
        <w:t xml:space="preserve"> in </w:t>
      </w:r>
      <w:r w:rsidR="00F869F0" w:rsidRPr="0010389B">
        <w:rPr>
          <w:b/>
          <w:lang w:eastAsia="zh-TW"/>
        </w:rPr>
        <w:t>Ming-</w:t>
      </w:r>
      <w:r w:rsidRPr="0010389B">
        <w:rPr>
          <w:b/>
          <w:lang w:eastAsia="zh-TW"/>
        </w:rPr>
        <w:t>Qing China’s juridical thinking and judicial practice</w:t>
      </w:r>
    </w:p>
    <w:p w14:paraId="2FFFF264" w14:textId="77777777" w:rsidR="00505CC6" w:rsidRPr="00505CC6" w:rsidRDefault="00505CC6" w:rsidP="001C6EAC">
      <w:pPr>
        <w:jc w:val="center"/>
        <w:rPr>
          <w:sz w:val="20"/>
          <w:szCs w:val="20"/>
          <w:lang w:eastAsia="zh-TW"/>
        </w:rPr>
      </w:pPr>
      <w:r w:rsidRPr="00505CC6">
        <w:rPr>
          <w:sz w:val="20"/>
          <w:szCs w:val="20"/>
          <w:lang w:eastAsia="zh-TW"/>
        </w:rPr>
        <w:t>(Luca Gabbiani, Ecole française d’Extrême-O</w:t>
      </w:r>
      <w:r w:rsidR="005E662C">
        <w:rPr>
          <w:sz w:val="20"/>
          <w:szCs w:val="20"/>
          <w:lang w:eastAsia="zh-TW"/>
        </w:rPr>
        <w:t>rient;</w:t>
      </w:r>
      <w:r w:rsidRPr="00505CC6">
        <w:rPr>
          <w:sz w:val="20"/>
          <w:szCs w:val="20"/>
          <w:lang w:eastAsia="zh-TW"/>
        </w:rPr>
        <w:t xml:space="preserve"> EFEO Beijing Center)</w:t>
      </w:r>
    </w:p>
    <w:p w14:paraId="0902C3EB" w14:textId="77777777" w:rsidR="00505CC6" w:rsidRDefault="00505CC6" w:rsidP="001C6EAC">
      <w:pPr>
        <w:jc w:val="both"/>
        <w:rPr>
          <w:lang w:eastAsia="zh-TW"/>
        </w:rPr>
      </w:pPr>
    </w:p>
    <w:p w14:paraId="4A22BCD4" w14:textId="77777777" w:rsidR="00505CC6" w:rsidRDefault="00505CC6" w:rsidP="001C6EAC">
      <w:pPr>
        <w:jc w:val="both"/>
        <w:rPr>
          <w:lang w:eastAsia="zh-TW"/>
        </w:rPr>
      </w:pPr>
    </w:p>
    <w:p w14:paraId="31B2DC2B" w14:textId="77777777" w:rsidR="00505CC6" w:rsidRDefault="00505CC6" w:rsidP="001C6EAC">
      <w:pPr>
        <w:jc w:val="both"/>
        <w:rPr>
          <w:lang w:eastAsia="zh-TW"/>
        </w:rPr>
      </w:pPr>
      <w:bookmarkStart w:id="0" w:name="_GoBack"/>
      <w:bookmarkEnd w:id="0"/>
    </w:p>
    <w:p w14:paraId="35B53E94" w14:textId="77777777" w:rsidR="00505CC6" w:rsidRPr="0010389B" w:rsidRDefault="00505CC6" w:rsidP="001C6EAC">
      <w:pPr>
        <w:jc w:val="both"/>
        <w:rPr>
          <w:b/>
          <w:lang w:eastAsia="zh-TW"/>
        </w:rPr>
      </w:pPr>
      <w:r w:rsidRPr="0010389B">
        <w:rPr>
          <w:b/>
          <w:lang w:eastAsia="zh-TW"/>
        </w:rPr>
        <w:t>Prolegomena</w:t>
      </w:r>
    </w:p>
    <w:p w14:paraId="052E8F42" w14:textId="77777777" w:rsidR="00505CC6" w:rsidRDefault="00505CC6" w:rsidP="001C6EAC">
      <w:pPr>
        <w:jc w:val="both"/>
        <w:rPr>
          <w:lang w:eastAsia="zh-TW"/>
        </w:rPr>
      </w:pPr>
    </w:p>
    <w:p w14:paraId="7AEDB214" w14:textId="3EE64570" w:rsidR="00E0463B" w:rsidRDefault="005E662C" w:rsidP="001C6EAC">
      <w:pPr>
        <w:ind w:firstLine="284"/>
        <w:jc w:val="both"/>
      </w:pPr>
      <w:r>
        <w:rPr>
          <w:rFonts w:cs="Times New Roman"/>
          <w:lang w:eastAsia="zh-TW"/>
        </w:rPr>
        <w:t xml:space="preserve">My interest in the notion of </w:t>
      </w:r>
      <w:r>
        <w:rPr>
          <w:rFonts w:ascii="新細明體" w:eastAsia="新細明體" w:hAnsi="新細明體" w:cs="新細明體" w:hint="eastAsia"/>
          <w:lang w:eastAsia="zh-TW"/>
        </w:rPr>
        <w:t>犯時不知</w:t>
      </w:r>
      <w:r>
        <w:rPr>
          <w:rFonts w:eastAsia="新細明體" w:cs="Times New Roman"/>
          <w:lang w:val="fr-FR" w:eastAsia="zh-TW"/>
        </w:rPr>
        <w:t xml:space="preserve"> (</w:t>
      </w:r>
      <w:r w:rsidRPr="005E662C">
        <w:rPr>
          <w:rFonts w:eastAsia="新細明體" w:cs="Times New Roman"/>
          <w:i/>
          <w:lang w:val="fr-FR" w:eastAsia="zh-TW"/>
        </w:rPr>
        <w:t>fanshi bu zhi</w:t>
      </w:r>
      <w:r>
        <w:rPr>
          <w:rFonts w:eastAsia="新細明體" w:cs="Times New Roman"/>
          <w:lang w:val="fr-FR" w:eastAsia="zh-TW"/>
        </w:rPr>
        <w:t xml:space="preserve">), </w:t>
      </w:r>
      <w:r w:rsidRPr="005E662C">
        <w:t>which can be translated into English as “</w:t>
      </w:r>
      <w:r>
        <w:t>not being aware [of the legal consequences of one’s act]</w:t>
      </w:r>
      <w:r w:rsidR="00497391">
        <w:t xml:space="preserve"> whilst committing</w:t>
      </w:r>
      <w:r w:rsidR="00497391" w:rsidRPr="00497391">
        <w:t xml:space="preserve"> it”, </w:t>
      </w:r>
      <w:r w:rsidR="00497391">
        <w:t xml:space="preserve">stems from a rather atypical criminal case </w:t>
      </w:r>
      <w:r w:rsidR="00F615C1">
        <w:t xml:space="preserve">I came across </w:t>
      </w:r>
      <w:r w:rsidR="00497391">
        <w:t>while doing research some years ago on the question of parricide and insanity in Qing-era legal culture</w:t>
      </w:r>
      <w:r w:rsidR="008D0132">
        <w:rPr>
          <w:rStyle w:val="Marquenotebasdepage"/>
        </w:rPr>
        <w:footnoteReference w:id="1"/>
      </w:r>
      <w:r w:rsidR="00497391">
        <w:t xml:space="preserve">. </w:t>
      </w:r>
      <w:r w:rsidR="00E57B89">
        <w:t xml:space="preserve">As </w:t>
      </w:r>
      <w:r w:rsidR="00E0463B">
        <w:t xml:space="preserve">an introduction to the aspects that will be treated in what follows, I propose to provide here a brief </w:t>
      </w:r>
      <w:r w:rsidR="00E57B89">
        <w:t xml:space="preserve">summary </w:t>
      </w:r>
      <w:r w:rsidR="00E0463B">
        <w:t>of this case.</w:t>
      </w:r>
    </w:p>
    <w:p w14:paraId="663A8222" w14:textId="5D43D56D" w:rsidR="00505CC6" w:rsidRDefault="008D0132" w:rsidP="001C6EAC">
      <w:pPr>
        <w:ind w:firstLine="284"/>
        <w:jc w:val="both"/>
      </w:pPr>
      <w:r>
        <w:t>The facts date back to late 1734</w:t>
      </w:r>
      <w:r w:rsidR="0080392B">
        <w:t xml:space="preserve"> and</w:t>
      </w:r>
      <w:r>
        <w:t xml:space="preserve"> involve</w:t>
      </w:r>
      <w:r w:rsidR="00E57B89">
        <w:t xml:space="preserve"> a young man</w:t>
      </w:r>
      <w:r>
        <w:t xml:space="preserve"> called Deng Tingmei </w:t>
      </w:r>
      <w:r>
        <w:rPr>
          <w:rFonts w:ascii="新細明體" w:eastAsia="新細明體" w:hAnsi="新細明體" w:cs="新細明體" w:hint="eastAsia"/>
          <w:lang w:eastAsia="zh-TW"/>
        </w:rPr>
        <w:t>鄧廷梅</w:t>
      </w:r>
      <w:r w:rsidR="00E57B89">
        <w:t xml:space="preserve"> </w:t>
      </w:r>
      <w:r>
        <w:t xml:space="preserve">who was found guilty of the murder of his elder brother, Deng Tingzhu </w:t>
      </w:r>
      <w:r>
        <w:rPr>
          <w:rFonts w:ascii="新細明體" w:eastAsia="新細明體" w:hAnsi="新細明體" w:cs="新細明體" w:hint="eastAsia"/>
          <w:lang w:eastAsia="zh-TW"/>
        </w:rPr>
        <w:t>鄧廷柱</w:t>
      </w:r>
      <w:r w:rsidRPr="008D0132">
        <w:t>, during a relapse of his mental illness</w:t>
      </w:r>
      <w:r>
        <w:t xml:space="preserve">. </w:t>
      </w:r>
      <w:r w:rsidR="00C43C96">
        <w:t>The details of the case ar</w:t>
      </w:r>
      <w:r w:rsidR="00270E64">
        <w:t>e not of utmost importance here.</w:t>
      </w:r>
      <w:r w:rsidR="00C43C96">
        <w:t xml:space="preserve"> </w:t>
      </w:r>
      <w:r w:rsidR="00270E64">
        <w:t>W</w:t>
      </w:r>
      <w:r w:rsidR="00C43C96">
        <w:t>hat is of relevance is the process that brought about the definitive ruling.</w:t>
      </w:r>
      <w:r w:rsidR="00721C21">
        <w:t xml:space="preserve"> </w:t>
      </w:r>
      <w:r w:rsidR="00C43C96">
        <w:t>For his crime, Deng Tingmei was sentenced to beheading after the Autumn Assizes</w:t>
      </w:r>
      <w:r w:rsidR="00B1413D">
        <w:t xml:space="preserve"> (</w:t>
      </w:r>
      <w:r w:rsidR="00B1413D" w:rsidRPr="00B1413D">
        <w:rPr>
          <w:i/>
        </w:rPr>
        <w:t>zhan ji</w:t>
      </w:r>
      <w:r w:rsidR="00B1413D">
        <w:rPr>
          <w:i/>
        </w:rPr>
        <w:t>an</w:t>
      </w:r>
      <w:r w:rsidR="00B1413D" w:rsidRPr="00B1413D">
        <w:rPr>
          <w:i/>
        </w:rPr>
        <w:t>hou</w:t>
      </w:r>
      <w:r w:rsidR="00B1413D">
        <w:t xml:space="preserve"> </w:t>
      </w:r>
      <w:r w:rsidR="00B1413D">
        <w:rPr>
          <w:rFonts w:ascii="新細明體" w:eastAsia="新細明體" w:hAnsi="新細明體" w:cs="新細明體" w:hint="eastAsia"/>
          <w:lang w:eastAsia="zh-TW"/>
        </w:rPr>
        <w:t>斬監候</w:t>
      </w:r>
      <w:r w:rsidR="00B1413D">
        <w:t>)</w:t>
      </w:r>
      <w:r w:rsidR="00C43C96">
        <w:t>, a judgement that was confirmed by an imperial edict in the spring of 1737.</w:t>
      </w:r>
      <w:r w:rsidR="00B1413D">
        <w:t xml:space="preserve"> But this punishment was never carried out. The Board of Punishments in Beijing included </w:t>
      </w:r>
      <w:r w:rsidR="0080392B">
        <w:t>Deng Tingmei</w:t>
      </w:r>
      <w:r w:rsidR="00B1413D">
        <w:t xml:space="preserve"> in the imperial amnesty (</w:t>
      </w:r>
      <w:r w:rsidR="00B1413D" w:rsidRPr="00721C21">
        <w:rPr>
          <w:i/>
        </w:rPr>
        <w:t>enshe</w:t>
      </w:r>
      <w:r w:rsidR="00B1413D">
        <w:t xml:space="preserve"> </w:t>
      </w:r>
      <w:r w:rsidR="00B1413D">
        <w:rPr>
          <w:rFonts w:ascii="新細明體" w:eastAsia="新細明體" w:hAnsi="新細明體" w:cs="新細明體" w:hint="eastAsia"/>
          <w:lang w:eastAsia="zh-TW"/>
        </w:rPr>
        <w:t>恩赦</w:t>
      </w:r>
      <w:r w:rsidR="00B1413D">
        <w:t xml:space="preserve">) promulgated on the occasion of emperor Qianlong’s accession to the throne. </w:t>
      </w:r>
      <w:r w:rsidR="00721C21">
        <w:t xml:space="preserve">Condemned but not punished, Deng was nevertheless put in jail at the request of the Board, in an effort to ensure he would </w:t>
      </w:r>
      <w:r w:rsidR="00270E64">
        <w:t xml:space="preserve">do no more </w:t>
      </w:r>
      <w:r w:rsidR="00721C21">
        <w:t>harm.</w:t>
      </w:r>
    </w:p>
    <w:p w14:paraId="6D9F442A" w14:textId="3CA6F7F2" w:rsidR="00F56A9C" w:rsidRDefault="00721C21" w:rsidP="001C6EAC">
      <w:pPr>
        <w:ind w:firstLine="284"/>
        <w:jc w:val="both"/>
      </w:pPr>
      <w:r>
        <w:t>When compared to the un</w:t>
      </w:r>
      <w:r w:rsidR="00DD1BC7">
        <w:t xml:space="preserve">enviable </w:t>
      </w:r>
      <w:r w:rsidR="003E7E31">
        <w:t>penal</w:t>
      </w:r>
      <w:r w:rsidR="00DD1BC7">
        <w:t xml:space="preserve"> treatment meted out to insane parricides in the strict sense</w:t>
      </w:r>
      <w:r w:rsidR="00F04122">
        <w:rPr>
          <w:rStyle w:val="Marquenotebasdepage"/>
        </w:rPr>
        <w:footnoteReference w:id="2"/>
      </w:r>
      <w:r w:rsidR="00DD1BC7">
        <w:t xml:space="preserve">, the sentence </w:t>
      </w:r>
      <w:r w:rsidR="00A939FF">
        <w:t>pronounced in Deng Tingmei’s case did convey a form of leniency. Within its characteristic framework</w:t>
      </w:r>
      <w:r w:rsidR="00F615C1">
        <w:t>,</w:t>
      </w:r>
      <w:r w:rsidR="00A939FF">
        <w:t xml:space="preserve"> </w:t>
      </w:r>
      <w:r w:rsidR="00F615C1">
        <w:t xml:space="preserve">which took into account </w:t>
      </w:r>
      <w:r w:rsidR="00A939FF">
        <w:t>kinship relations</w:t>
      </w:r>
      <w:r w:rsidR="00713D6C">
        <w:rPr>
          <w:rStyle w:val="Marquenotebasdepage"/>
        </w:rPr>
        <w:footnoteReference w:id="3"/>
      </w:r>
      <w:r w:rsidR="00A939FF">
        <w:t xml:space="preserve">, traditional Chinese law considered the link between younger and elder brothers as similar to that </w:t>
      </w:r>
      <w:r w:rsidR="00986FA6">
        <w:t xml:space="preserve">uniting wives and husbands. Accordingly, ordinary homicides at the expenses of husbands or elder </w:t>
      </w:r>
      <w:r w:rsidR="00986FA6">
        <w:lastRenderedPageBreak/>
        <w:t>siblings had the same punishment meted out to them: immediate beheading (</w:t>
      </w:r>
      <w:r w:rsidR="00986FA6" w:rsidRPr="00986FA6">
        <w:rPr>
          <w:i/>
        </w:rPr>
        <w:t>zhan lijue</w:t>
      </w:r>
      <w:r w:rsidR="00986FA6">
        <w:t xml:space="preserve"> </w:t>
      </w:r>
      <w:r w:rsidR="00986FA6">
        <w:rPr>
          <w:rFonts w:ascii="新細明體" w:eastAsia="新細明體" w:hAnsi="新細明體" w:cs="新細明體" w:hint="eastAsia"/>
          <w:lang w:eastAsia="zh-TW"/>
        </w:rPr>
        <w:t>斬立決</w:t>
      </w:r>
      <w:r w:rsidR="00986FA6">
        <w:t xml:space="preserve">). </w:t>
      </w:r>
      <w:r w:rsidR="00D777AE">
        <w:t>Obviously, in Deng Tingmei’s case, mental instability was considered a mitigating factor, hence the light reduction of the sentence. Interestingly, as the documents produced during the rather long process of adju</w:t>
      </w:r>
      <w:r w:rsidR="00270E64">
        <w:t>dication</w:t>
      </w:r>
      <w:r w:rsidR="00F479FD">
        <w:t xml:space="preserve"> show, such a</w:t>
      </w:r>
      <w:r w:rsidR="00D777AE">
        <w:t xml:space="preserve"> “leniency” was actually the result of a compromise </w:t>
      </w:r>
      <w:r w:rsidR="00F479FD">
        <w:t>to solve a serious quarrel that arose between the Board of Punishments</w:t>
      </w:r>
      <w:r w:rsidR="005F04A7">
        <w:t>,</w:t>
      </w:r>
      <w:r w:rsidR="00F479FD">
        <w:t xml:space="preserve"> in Beijing</w:t>
      </w:r>
      <w:r w:rsidR="005F04A7">
        <w:t>,</w:t>
      </w:r>
      <w:r w:rsidR="00F479FD">
        <w:t xml:space="preserve"> and the governor of Guangdong province, where the unfortunate events had taken place.</w:t>
      </w:r>
      <w:r w:rsidR="00F56A9C">
        <w:t xml:space="preserve"> It is in these circumstances</w:t>
      </w:r>
      <w:r w:rsidR="00F479FD">
        <w:t xml:space="preserve"> that I first came across the above-mentioned notion of </w:t>
      </w:r>
      <w:r w:rsidR="00F479FD" w:rsidRPr="00F479FD">
        <w:rPr>
          <w:i/>
        </w:rPr>
        <w:t>fanshi bu</w:t>
      </w:r>
      <w:r w:rsidR="00F56A9C">
        <w:rPr>
          <w:i/>
        </w:rPr>
        <w:t xml:space="preserve"> </w:t>
      </w:r>
      <w:r w:rsidR="00F479FD" w:rsidRPr="00F479FD">
        <w:rPr>
          <w:i/>
        </w:rPr>
        <w:t>zhi</w:t>
      </w:r>
      <w:r w:rsidR="00F479FD">
        <w:t xml:space="preserve">. </w:t>
      </w:r>
      <w:r w:rsidR="00F56A9C">
        <w:t xml:space="preserve">It was brought to the fore by </w:t>
      </w:r>
      <w:r w:rsidR="00F479FD">
        <w:t xml:space="preserve">governor Yang Yongbin </w:t>
      </w:r>
      <w:r w:rsidR="00F479FD">
        <w:rPr>
          <w:rFonts w:ascii="新細明體" w:eastAsia="新細明體" w:hAnsi="新細明體" w:cs="新細明體" w:hint="eastAsia"/>
          <w:lang w:eastAsia="zh-TW"/>
        </w:rPr>
        <w:t>楊永斌</w:t>
      </w:r>
      <w:r w:rsidR="00F479FD">
        <w:t xml:space="preserve"> (1670-1740)</w:t>
      </w:r>
      <w:r w:rsidR="00F56A9C">
        <w:t xml:space="preserve"> in the heated debates he had with the Board while seeking to adjudicate the case, process during which the tension actually rose high between the two sides of the judicial machinery.</w:t>
      </w:r>
    </w:p>
    <w:p w14:paraId="2D0C1C1F" w14:textId="48C00408" w:rsidR="00A45FE3" w:rsidRDefault="00270E64" w:rsidP="001C6EAC">
      <w:pPr>
        <w:ind w:firstLine="284"/>
        <w:jc w:val="both"/>
      </w:pPr>
      <w:r>
        <w:t>What was at stake was the issue of criminal intent. The Chinese legal tradition was very early on founded on this cardinal principle, which, in its most refined sense, linked punishments to intentional acts only</w:t>
      </w:r>
      <w:r>
        <w:rPr>
          <w:rStyle w:val="Marquenotebasdepage"/>
        </w:rPr>
        <w:footnoteReference w:id="4"/>
      </w:r>
      <w:r>
        <w:t>. In line with this conception, and at least from the Tang on (618-907), madness had been recognized as a mitigating factor in criminal circumstances, even though this never led to the systematic exemption from punishment of criminals recognized as mentally ill</w:t>
      </w:r>
      <w:r>
        <w:rPr>
          <w:rStyle w:val="Marquenotebasdepage"/>
        </w:rPr>
        <w:footnoteReference w:id="5"/>
      </w:r>
      <w:r>
        <w:t xml:space="preserve">. </w:t>
      </w:r>
      <w:r w:rsidR="00450EBD">
        <w:t>Right fro</w:t>
      </w:r>
      <w:r w:rsidR="00E0463B">
        <w:t xml:space="preserve">m the beginning, governor </w:t>
      </w:r>
      <w:r>
        <w:t xml:space="preserve">Yang </w:t>
      </w:r>
      <w:r w:rsidR="00E0463B">
        <w:t>considered that all charges against Deng Tingmei ought to be lifted on the grounds of his mental condition</w:t>
      </w:r>
      <w:r w:rsidR="007E3C73">
        <w:t xml:space="preserve">. </w:t>
      </w:r>
      <w:r w:rsidR="00546BD0">
        <w:t>In an original line of argument</w:t>
      </w:r>
      <w:r w:rsidR="00546BD0">
        <w:rPr>
          <w:rStyle w:val="Marquenotebasdepage"/>
        </w:rPr>
        <w:footnoteReference w:id="6"/>
      </w:r>
      <w:r w:rsidR="00546BD0">
        <w:t xml:space="preserve">, </w:t>
      </w:r>
      <w:r w:rsidR="00450EBD">
        <w:t xml:space="preserve">he </w:t>
      </w:r>
      <w:r w:rsidR="00546BD0">
        <w:t xml:space="preserve">resorted to statute 35 of the </w:t>
      </w:r>
      <w:r w:rsidR="00546BD0" w:rsidRPr="00D21566">
        <w:rPr>
          <w:i/>
        </w:rPr>
        <w:t>Qing Code</w:t>
      </w:r>
      <w:r w:rsidR="00546BD0">
        <w:t xml:space="preserve"> </w:t>
      </w:r>
      <w:r w:rsidR="00710353">
        <w:rPr>
          <w:rFonts w:ascii="新細明體" w:eastAsia="新細明體" w:hAnsi="新細明體" w:cs="新細明體" w:hint="eastAsia"/>
          <w:lang w:eastAsia="zh-TW"/>
        </w:rPr>
        <w:t>大清律例</w:t>
      </w:r>
      <w:r w:rsidR="00710353">
        <w:rPr>
          <w:rStyle w:val="Marquenotebasdepage"/>
          <w:rFonts w:ascii="新細明體" w:eastAsia="新細明體" w:hAnsi="新細明體" w:cs="新細明體"/>
          <w:lang w:eastAsia="zh-TW"/>
        </w:rPr>
        <w:footnoteReference w:id="7"/>
      </w:r>
      <w:r w:rsidR="00710353">
        <w:t xml:space="preserve"> </w:t>
      </w:r>
      <w:r w:rsidR="00D21566">
        <w:t xml:space="preserve">to try </w:t>
      </w:r>
      <w:r w:rsidR="00546BD0">
        <w:t xml:space="preserve">to </w:t>
      </w:r>
      <w:r w:rsidR="00D21566">
        <w:t xml:space="preserve">convince </w:t>
      </w:r>
      <w:r w:rsidR="00546BD0">
        <w:t>the</w:t>
      </w:r>
      <w:r w:rsidR="00D21566">
        <w:t xml:space="preserve"> officials of the</w:t>
      </w:r>
      <w:r w:rsidR="00546BD0">
        <w:t xml:space="preserve"> Board</w:t>
      </w:r>
      <w:r w:rsidR="00710353">
        <w:t xml:space="preserve"> of adopting his stance. </w:t>
      </w:r>
      <w:r w:rsidR="00811BE8">
        <w:rPr>
          <w:lang w:val="fr-FR"/>
        </w:rPr>
        <w:t>Entitled</w:t>
      </w:r>
      <w:r w:rsidR="00312498">
        <w:rPr>
          <w:lang w:val="fr-FR"/>
        </w:rPr>
        <w:t xml:space="preserve"> </w:t>
      </w:r>
      <w:r w:rsidR="00312498" w:rsidRPr="00312498">
        <w:rPr>
          <w:i/>
          <w:lang w:val="fr-FR"/>
        </w:rPr>
        <w:t>Bentiao bie you zuiming</w:t>
      </w:r>
      <w:r w:rsidR="00312498">
        <w:rPr>
          <w:lang w:val="fr-FR"/>
        </w:rPr>
        <w:t xml:space="preserve"> </w:t>
      </w:r>
      <w:r w:rsidR="00312498">
        <w:rPr>
          <w:rFonts w:ascii="新細明體" w:eastAsia="新細明體" w:hAnsi="新細明體" w:cs="新細明體" w:hint="eastAsia"/>
          <w:lang w:val="fr-FR" w:eastAsia="zh-TW"/>
        </w:rPr>
        <w:t>本條別有罪名</w:t>
      </w:r>
      <w:r w:rsidR="00546BD0">
        <w:t xml:space="preserve">, </w:t>
      </w:r>
      <w:r w:rsidR="00811BE8">
        <w:t xml:space="preserve">it </w:t>
      </w:r>
      <w:r w:rsidR="00312498">
        <w:t>has been translated into English as “Specific articles having different regulations for punishment”</w:t>
      </w:r>
      <w:r w:rsidR="00312498">
        <w:rPr>
          <w:rStyle w:val="Marquenotebasdepage"/>
        </w:rPr>
        <w:footnoteReference w:id="8"/>
      </w:r>
      <w:r w:rsidR="00312498">
        <w:t xml:space="preserve">. As we will see below, it </w:t>
      </w:r>
      <w:r w:rsidR="00A45FE3">
        <w:t xml:space="preserve">is </w:t>
      </w:r>
      <w:r w:rsidR="00312498">
        <w:t>mainly of a procedural</w:t>
      </w:r>
      <w:r w:rsidR="00A45FE3">
        <w:t xml:space="preserve"> type. What drew the attention of governor Yang to this specific law was the contents of its third paragraph, which stipulate that</w:t>
      </w:r>
    </w:p>
    <w:p w14:paraId="391B3CA8" w14:textId="77777777" w:rsidR="00A45FE3" w:rsidRDefault="00A45FE3" w:rsidP="001C6EAC">
      <w:pPr>
        <w:jc w:val="both"/>
      </w:pPr>
    </w:p>
    <w:p w14:paraId="64F2D2DE" w14:textId="01960207" w:rsidR="00A45FE3" w:rsidRPr="007E3C73" w:rsidRDefault="00E17925" w:rsidP="001C6EAC">
      <w:pPr>
        <w:ind w:left="708"/>
        <w:jc w:val="both"/>
        <w:rPr>
          <w:sz w:val="20"/>
          <w:szCs w:val="20"/>
        </w:rPr>
      </w:pPr>
      <w:r>
        <w:rPr>
          <w:sz w:val="20"/>
          <w:szCs w:val="20"/>
          <w:lang w:val="fr-FR"/>
        </w:rPr>
        <w:t>In case</w:t>
      </w:r>
      <w:r w:rsidRPr="003E768D">
        <w:rPr>
          <w:sz w:val="20"/>
          <w:szCs w:val="20"/>
          <w:lang w:val="fr-FR"/>
        </w:rPr>
        <w:t xml:space="preserve"> </w:t>
      </w:r>
      <w:r>
        <w:rPr>
          <w:sz w:val="20"/>
          <w:szCs w:val="20"/>
          <w:lang w:val="fr-FR"/>
        </w:rPr>
        <w:t xml:space="preserve">the crime </w:t>
      </w:r>
      <w:r w:rsidRPr="003E768D">
        <w:rPr>
          <w:sz w:val="20"/>
          <w:szCs w:val="20"/>
          <w:lang w:val="fr-FR"/>
        </w:rPr>
        <w:t>[</w:t>
      </w:r>
      <w:r>
        <w:rPr>
          <w:sz w:val="20"/>
          <w:szCs w:val="20"/>
          <w:lang w:val="fr-FR"/>
        </w:rPr>
        <w:t>committed</w:t>
      </w:r>
      <w:r w:rsidRPr="003E768D">
        <w:rPr>
          <w:sz w:val="20"/>
          <w:szCs w:val="20"/>
          <w:lang w:val="fr-FR"/>
        </w:rPr>
        <w:t xml:space="preserve">] </w:t>
      </w:r>
      <w:r>
        <w:rPr>
          <w:sz w:val="20"/>
          <w:szCs w:val="20"/>
          <w:lang w:val="fr-FR"/>
        </w:rPr>
        <w:t>is more serious [than that provided for in a specific law]</w:t>
      </w:r>
      <w:r w:rsidRPr="003E768D">
        <w:rPr>
          <w:sz w:val="20"/>
          <w:szCs w:val="20"/>
          <w:lang w:val="fr-FR"/>
        </w:rPr>
        <w:t>, but that at the time of the deed the culprit was unaware [of the seriousness of his action], adjudicate according to the provisions for ordinary people</w:t>
      </w:r>
      <w:r w:rsidR="007E3C73" w:rsidRPr="007E3C73">
        <w:rPr>
          <w:sz w:val="20"/>
          <w:szCs w:val="20"/>
        </w:rPr>
        <w:t>.</w:t>
      </w:r>
      <w:r w:rsidR="007E3C73">
        <w:rPr>
          <w:rStyle w:val="Marquenotebasdepage"/>
          <w:sz w:val="20"/>
          <w:szCs w:val="20"/>
        </w:rPr>
        <w:footnoteReference w:id="9"/>
      </w:r>
    </w:p>
    <w:p w14:paraId="529086AF" w14:textId="72A0AEDE" w:rsidR="00A45FE3" w:rsidRPr="007E3C73" w:rsidRDefault="007E3C73" w:rsidP="001C6EAC">
      <w:pPr>
        <w:ind w:left="708"/>
        <w:jc w:val="both"/>
        <w:rPr>
          <w:rFonts w:ascii="新細明體" w:eastAsia="新細明體" w:hAnsi="新細明體" w:cs="新細明體"/>
          <w:sz w:val="20"/>
          <w:szCs w:val="20"/>
          <w:lang w:eastAsia="zh-TW"/>
        </w:rPr>
      </w:pPr>
      <w:r w:rsidRPr="007E3C73">
        <w:rPr>
          <w:rFonts w:ascii="新細明體" w:eastAsia="新細明體" w:hAnsi="新細明體" w:cs="新細明體" w:hint="eastAsia"/>
          <w:sz w:val="20"/>
          <w:szCs w:val="20"/>
          <w:lang w:eastAsia="zh-TW"/>
        </w:rPr>
        <w:t>其本應罪重而犯時不知者依凡人論</w:t>
      </w:r>
    </w:p>
    <w:p w14:paraId="50820CA1" w14:textId="77777777" w:rsidR="007E3C73" w:rsidRPr="007E3C73" w:rsidRDefault="007E3C73" w:rsidP="001C6EAC">
      <w:pPr>
        <w:jc w:val="both"/>
        <w:rPr>
          <w:lang w:val="fr-FR"/>
        </w:rPr>
      </w:pPr>
    </w:p>
    <w:p w14:paraId="18919A21" w14:textId="72BD2B7A" w:rsidR="00450EBD" w:rsidRDefault="007E3C73" w:rsidP="001C6EAC">
      <w:pPr>
        <w:ind w:firstLine="284"/>
        <w:jc w:val="both"/>
      </w:pPr>
      <w:r>
        <w:t xml:space="preserve">Had this provision been </w:t>
      </w:r>
      <w:r w:rsidR="004A3FA2">
        <w:t>taken into consideration, homicides committed by insane individuals inside the family structure would have been assimilated to ordinary homicides by mentally ill persons. Since 1669, the latter were considered as unintentional homicides (</w:t>
      </w:r>
      <w:r w:rsidR="004A3FA2" w:rsidRPr="004A3FA2">
        <w:rPr>
          <w:rFonts w:eastAsia="新細明體" w:cs="Times New Roman"/>
          <w:i/>
          <w:lang w:val="fr-FR" w:eastAsia="zh-TW"/>
        </w:rPr>
        <w:t>guoshi sha</w:t>
      </w:r>
      <w:r w:rsidR="004A3FA2">
        <w:rPr>
          <w:rFonts w:eastAsia="新細明體" w:cs="Times New Roman"/>
          <w:lang w:val="fr-FR" w:eastAsia="zh-TW"/>
        </w:rPr>
        <w:t xml:space="preserve"> </w:t>
      </w:r>
      <w:r w:rsidR="004A3FA2">
        <w:rPr>
          <w:rFonts w:ascii="新細明體" w:eastAsia="新細明體" w:hAnsi="新細明體" w:cs="新細明體" w:hint="eastAsia"/>
          <w:lang w:val="fr-FR" w:eastAsia="zh-TW"/>
        </w:rPr>
        <w:t>過失殺</w:t>
      </w:r>
      <w:r w:rsidR="004A3FA2">
        <w:t>)</w:t>
      </w:r>
      <w:r w:rsidR="004A3F42">
        <w:t xml:space="preserve"> and in such instances, the wrongdoer was only liable to the payment of an indemnity to the victim’s family</w:t>
      </w:r>
      <w:r w:rsidR="004A3FA2">
        <w:rPr>
          <w:rStyle w:val="Marquenotebasdepage"/>
        </w:rPr>
        <w:footnoteReference w:id="10"/>
      </w:r>
      <w:r w:rsidR="004A3FA2">
        <w:rPr>
          <w:lang w:val="fr-FR"/>
        </w:rPr>
        <w:t>.</w:t>
      </w:r>
      <w:r w:rsidR="004A3FA2" w:rsidRPr="00FE54D5">
        <w:t xml:space="preserve"> </w:t>
      </w:r>
      <w:r w:rsidR="00625DB2">
        <w:t>This position</w:t>
      </w:r>
      <w:r w:rsidR="00FE54D5" w:rsidRPr="00FE54D5">
        <w:t xml:space="preserve"> fitted nicely</w:t>
      </w:r>
      <w:r w:rsidR="00FE54D5">
        <w:t xml:space="preserve"> with the unintentional character of crimes by insane individuals, largely recognised by Chinese administrators at the time and customarily expressed in their exchanges with the Board by the </w:t>
      </w:r>
      <w:r w:rsidR="00625DB2">
        <w:t>expression</w:t>
      </w:r>
      <w:r w:rsidR="00FE54D5">
        <w:t xml:space="preserve"> “[the culprit] was unaware of his/her act because of mental illness” (</w:t>
      </w:r>
      <w:r w:rsidR="00FE54D5" w:rsidRPr="00FE54D5">
        <w:rPr>
          <w:i/>
        </w:rPr>
        <w:t>feng fa wu zhi</w:t>
      </w:r>
      <w:r w:rsidR="00FE54D5">
        <w:t xml:space="preserve"> </w:t>
      </w:r>
      <w:r w:rsidR="00FE54D5">
        <w:rPr>
          <w:rFonts w:ascii="新細明體" w:eastAsia="新細明體" w:hAnsi="新細明體" w:cs="新細明體" w:hint="eastAsia"/>
          <w:lang w:eastAsia="zh-TW"/>
        </w:rPr>
        <w:t>瘋發無知</w:t>
      </w:r>
      <w:r w:rsidR="00FE54D5">
        <w:t>)</w:t>
      </w:r>
      <w:r w:rsidR="00FE54D5">
        <w:rPr>
          <w:rStyle w:val="Marquenotebasdepage"/>
        </w:rPr>
        <w:footnoteReference w:id="11"/>
      </w:r>
      <w:r w:rsidR="00FE54D5">
        <w:t xml:space="preserve">. </w:t>
      </w:r>
      <w:r w:rsidR="00450EBD">
        <w:t xml:space="preserve">Under governor </w:t>
      </w:r>
      <w:r w:rsidR="004A3F42">
        <w:t>Yang</w:t>
      </w:r>
      <w:r w:rsidR="00450EBD">
        <w:t>’s</w:t>
      </w:r>
      <w:r w:rsidR="004A3F42">
        <w:t xml:space="preserve"> brush, the fact that</w:t>
      </w:r>
      <w:r w:rsidR="00FE54D5">
        <w:t xml:space="preserve"> </w:t>
      </w:r>
      <w:r w:rsidR="006277BF">
        <w:t xml:space="preserve">this last expression </w:t>
      </w:r>
      <w:r w:rsidR="00FE54D5">
        <w:t>closely echoes with its counterpart in statute 35</w:t>
      </w:r>
      <w:r w:rsidR="004A3F42">
        <w:t xml:space="preserve"> was no coincidence</w:t>
      </w:r>
      <w:r w:rsidR="00FE54D5">
        <w:t>.</w:t>
      </w:r>
      <w:r w:rsidR="00450EBD">
        <w:t xml:space="preserve"> In his opinion, the </w:t>
      </w:r>
      <w:r w:rsidR="00243E20">
        <w:t xml:space="preserve">latter’s </w:t>
      </w:r>
      <w:r w:rsidR="00450EBD">
        <w:t>provision</w:t>
      </w:r>
      <w:r w:rsidR="00243E20">
        <w:t>s</w:t>
      </w:r>
      <w:r w:rsidR="00450EBD">
        <w:t xml:space="preserve"> </w:t>
      </w:r>
      <w:r w:rsidR="00243E20">
        <w:t xml:space="preserve">allowed for </w:t>
      </w:r>
      <w:r w:rsidR="00450EBD">
        <w:t>Deng Tingmei’s mental instability to be taken into account as a an element clearing him of punishment for lack of criminal intent</w:t>
      </w:r>
      <w:r w:rsidR="00243E20">
        <w:t>, rather than simply as a mitigating factor</w:t>
      </w:r>
      <w:r w:rsidR="00450EBD">
        <w:t>. As he phrased it in one of his exchanges with the Board’s administrators in Beijing:</w:t>
      </w:r>
    </w:p>
    <w:p w14:paraId="24D29BF6" w14:textId="77777777" w:rsidR="00450EBD" w:rsidRDefault="00450EBD" w:rsidP="001C6EAC">
      <w:pPr>
        <w:jc w:val="both"/>
      </w:pPr>
    </w:p>
    <w:p w14:paraId="3EB5FA25" w14:textId="5E39CECB" w:rsidR="00450EBD" w:rsidRPr="008150B7" w:rsidRDefault="00450EBD" w:rsidP="001C6EAC">
      <w:pPr>
        <w:ind w:left="708"/>
        <w:jc w:val="both"/>
        <w:rPr>
          <w:sz w:val="20"/>
          <w:szCs w:val="20"/>
        </w:rPr>
      </w:pPr>
      <w:r w:rsidRPr="008150B7">
        <w:rPr>
          <w:sz w:val="20"/>
          <w:szCs w:val="20"/>
        </w:rPr>
        <w:t>[…] When folly obscured Deng Tingmei’s mind to the point he could not comprehend the world around him anymore, not even who Deng Tingzhu was, there was precisely no difference with the idea of “being unaware of on</w:t>
      </w:r>
      <w:r w:rsidR="00243E20">
        <w:rPr>
          <w:sz w:val="20"/>
          <w:szCs w:val="20"/>
          <w:lang w:val="fr-FR"/>
        </w:rPr>
        <w:t>e</w:t>
      </w:r>
      <w:r w:rsidRPr="008150B7">
        <w:rPr>
          <w:sz w:val="20"/>
          <w:szCs w:val="20"/>
        </w:rPr>
        <w:t>’s action whilst committing it”.</w:t>
      </w:r>
      <w:r>
        <w:rPr>
          <w:rStyle w:val="Marquenotebasdepage"/>
          <w:sz w:val="20"/>
          <w:szCs w:val="20"/>
        </w:rPr>
        <w:footnoteReference w:id="12"/>
      </w:r>
    </w:p>
    <w:p w14:paraId="664A25BF" w14:textId="77777777" w:rsidR="00450EBD" w:rsidRPr="008150B7" w:rsidRDefault="00450EBD" w:rsidP="001C6EAC">
      <w:pPr>
        <w:ind w:firstLine="708"/>
        <w:jc w:val="both"/>
        <w:rPr>
          <w:rFonts w:ascii="新細明體" w:eastAsia="新細明體" w:hAnsi="新細明體" w:cs="新細明體"/>
          <w:lang w:val="fr-FR" w:eastAsia="zh-TW"/>
        </w:rPr>
      </w:pPr>
      <w:r w:rsidRPr="008150B7">
        <w:rPr>
          <w:rFonts w:eastAsia="新細明體" w:cs="新細明體"/>
          <w:sz w:val="20"/>
          <w:szCs w:val="20"/>
          <w:lang w:val="fr-FR" w:eastAsia="zh-TW"/>
        </w:rPr>
        <w:t>[</w:t>
      </w:r>
      <w:r w:rsidRPr="008150B7">
        <w:rPr>
          <w:rFonts w:eastAsia="新細明體" w:cs="新細明體"/>
          <w:sz w:val="20"/>
          <w:szCs w:val="20"/>
          <w:lang w:val="fr-FR" w:eastAsia="zh-TW"/>
        </w:rPr>
        <w:t>但</w:t>
      </w:r>
      <w:r w:rsidRPr="008150B7">
        <w:rPr>
          <w:rFonts w:eastAsia="新細明體" w:cs="新細明體"/>
          <w:sz w:val="20"/>
          <w:szCs w:val="20"/>
          <w:lang w:val="fr-FR" w:eastAsia="zh-TW"/>
        </w:rPr>
        <w:t>]</w:t>
      </w:r>
      <w:r w:rsidRPr="008150B7">
        <w:rPr>
          <w:rFonts w:eastAsia="新細明體" w:cs="新細明體"/>
          <w:sz w:val="20"/>
          <w:szCs w:val="20"/>
          <w:lang w:val="fr-FR" w:eastAsia="zh-TW"/>
        </w:rPr>
        <w:t>鄧廷梅瘋病</w:t>
      </w:r>
      <w:r w:rsidRPr="008150B7">
        <w:rPr>
          <w:rFonts w:ascii="新細明體" w:eastAsia="新細明體" w:hAnsi="新細明體" w:cs="新細明體" w:hint="eastAsia"/>
          <w:sz w:val="20"/>
          <w:szCs w:val="20"/>
          <w:lang w:val="fr-FR" w:eastAsia="zh-TW"/>
        </w:rPr>
        <w:t>昏迷不省人事之時，實以不識鄧廷柱為何人，正與犯時不知無異。</w:t>
      </w:r>
    </w:p>
    <w:p w14:paraId="4596F517" w14:textId="3D67408F" w:rsidR="00450EBD" w:rsidRPr="00450EBD" w:rsidRDefault="00450EBD" w:rsidP="001C6EAC">
      <w:pPr>
        <w:jc w:val="both"/>
        <w:rPr>
          <w:lang w:val="fr-FR"/>
        </w:rPr>
      </w:pPr>
    </w:p>
    <w:p w14:paraId="3699D1DA" w14:textId="2CF4C287" w:rsidR="008150B7" w:rsidRPr="00AC20C2" w:rsidRDefault="008150B7" w:rsidP="001C6EAC">
      <w:pPr>
        <w:jc w:val="both"/>
        <w:rPr>
          <w:rFonts w:ascii="新細明體" w:eastAsia="新細明體" w:hAnsi="新細明體" w:cs="新細明體"/>
          <w:lang w:val="fr-FR" w:eastAsia="zh-TW"/>
        </w:rPr>
      </w:pPr>
    </w:p>
    <w:p w14:paraId="2061CAC1" w14:textId="7B394CDE" w:rsidR="00AC20C2" w:rsidRDefault="00625DB2" w:rsidP="001C6EAC">
      <w:pPr>
        <w:ind w:firstLine="284"/>
        <w:jc w:val="both"/>
      </w:pPr>
      <w:r>
        <w:t xml:space="preserve">As we have seen above, the task Yang Yongbin set to himself proved impossible to achieve. </w:t>
      </w:r>
      <w:r w:rsidR="00BB2D3B">
        <w:t xml:space="preserve">Without resorting to any form of subtle juridical reasoning to try to wrestle with </w:t>
      </w:r>
      <w:r w:rsidR="005F04A7">
        <w:t>the governor’s line of thought</w:t>
      </w:r>
      <w:r w:rsidR="00BB2D3B">
        <w:t xml:space="preserve">, </w:t>
      </w:r>
      <w:r w:rsidR="00243E20">
        <w:t xml:space="preserve">and in a way which is reminiscent of the unfaltering severity it systematically advocated until the early years of the twentieth century when confronted to parricides </w:t>
      </w:r>
      <w:r w:rsidR="0071644A">
        <w:t>in the strict sense committed by mentally ill individuals</w:t>
      </w:r>
      <w:r w:rsidR="00243E20">
        <w:t xml:space="preserve">, </w:t>
      </w:r>
      <w:r w:rsidR="00CE3DAB">
        <w:t>t</w:t>
      </w:r>
      <w:r w:rsidR="007E3C73">
        <w:t xml:space="preserve">he Board of Punishments </w:t>
      </w:r>
      <w:r w:rsidR="00243E20">
        <w:t>sternly</w:t>
      </w:r>
      <w:r w:rsidR="00C354A2">
        <w:t xml:space="preserve"> </w:t>
      </w:r>
      <w:r w:rsidR="007E3C73">
        <w:t xml:space="preserve">upheld the view that the family relation </w:t>
      </w:r>
      <w:r w:rsidR="009954EB">
        <w:t>affected</w:t>
      </w:r>
      <w:r w:rsidR="007E3C73">
        <w:t xml:space="preserve"> – </w:t>
      </w:r>
      <w:r w:rsidR="00BB2D3B">
        <w:t xml:space="preserve">in this specific case </w:t>
      </w:r>
      <w:r w:rsidR="007E3C73">
        <w:t>one of the most fundamental according to the traditional Chinese conceptualization of kinship –</w:t>
      </w:r>
      <w:r w:rsidR="00BB2D3B">
        <w:t xml:space="preserve"> could </w:t>
      </w:r>
      <w:r w:rsidR="007E3C73">
        <w:t xml:space="preserve">not </w:t>
      </w:r>
      <w:r w:rsidR="00BB2D3B">
        <w:t xml:space="preserve">to </w:t>
      </w:r>
      <w:r w:rsidR="007E3C73">
        <w:t xml:space="preserve">be </w:t>
      </w:r>
      <w:r w:rsidR="00BB2D3B">
        <w:t xml:space="preserve">done with </w:t>
      </w:r>
      <w:r w:rsidR="00AC20C2">
        <w:t>in a careless manner:</w:t>
      </w:r>
    </w:p>
    <w:p w14:paraId="7D74FC20" w14:textId="77777777" w:rsidR="00AC20C2" w:rsidRDefault="00AC20C2" w:rsidP="001C6EAC">
      <w:pPr>
        <w:jc w:val="both"/>
      </w:pPr>
    </w:p>
    <w:p w14:paraId="0BF95309" w14:textId="04A9007A" w:rsidR="00AC20C2" w:rsidRPr="00270E64" w:rsidRDefault="00AC20C2" w:rsidP="001C6EAC">
      <w:pPr>
        <w:ind w:left="708"/>
        <w:jc w:val="both"/>
        <w:rPr>
          <w:sz w:val="20"/>
          <w:szCs w:val="20"/>
        </w:rPr>
      </w:pPr>
      <w:r w:rsidRPr="00270E64">
        <w:rPr>
          <w:sz w:val="20"/>
          <w:szCs w:val="20"/>
        </w:rPr>
        <w:t>In the present situation, even though Deng Tingmei was overcome by a fit of madness when he beat his elder brother […] to death, […] how could one refer to this statute [35] to determine the sentence according to [the provisions]</w:t>
      </w:r>
      <w:r w:rsidR="00450EBD">
        <w:rPr>
          <w:sz w:val="20"/>
          <w:szCs w:val="20"/>
        </w:rPr>
        <w:t xml:space="preserve"> set for ordinary individuals? W</w:t>
      </w:r>
      <w:r w:rsidRPr="00270E64">
        <w:rPr>
          <w:sz w:val="20"/>
          <w:szCs w:val="20"/>
        </w:rPr>
        <w:t>hen a person hits an elder sibling</w:t>
      </w:r>
      <w:r w:rsidR="00270E64" w:rsidRPr="00270E64">
        <w:rPr>
          <w:sz w:val="20"/>
          <w:szCs w:val="20"/>
        </w:rPr>
        <w:t>, killing him, the social statu</w:t>
      </w:r>
      <w:r w:rsidRPr="00270E64">
        <w:rPr>
          <w:sz w:val="20"/>
          <w:szCs w:val="20"/>
        </w:rPr>
        <w:t>s of the parties and the respective obligations that stem from it are involved.</w:t>
      </w:r>
      <w:r w:rsidR="0071644A">
        <w:rPr>
          <w:rStyle w:val="Marquenotebasdepage"/>
          <w:sz w:val="20"/>
          <w:szCs w:val="20"/>
        </w:rPr>
        <w:footnoteReference w:id="13"/>
      </w:r>
    </w:p>
    <w:p w14:paraId="18B63269" w14:textId="667410B7" w:rsidR="00AC20C2" w:rsidRPr="00270E64" w:rsidRDefault="00AC20C2" w:rsidP="001C6EAC">
      <w:pPr>
        <w:ind w:left="708"/>
        <w:jc w:val="both"/>
        <w:rPr>
          <w:rFonts w:ascii="新細明體" w:eastAsia="新細明體" w:hAnsi="新細明體" w:cs="新細明體"/>
          <w:lang w:val="fr-FR" w:eastAsia="zh-TW"/>
        </w:rPr>
      </w:pPr>
      <w:r w:rsidRPr="00270E64">
        <w:rPr>
          <w:rFonts w:ascii="新細明體" w:eastAsia="新細明體" w:hAnsi="新細明體" w:cs="新細明體" w:hint="eastAsia"/>
          <w:sz w:val="20"/>
          <w:szCs w:val="20"/>
          <w:lang w:eastAsia="zh-TW"/>
        </w:rPr>
        <w:t>今鄧廷梅雖因風病昏迷打傷胞兄鄧廷柱身死，</w:t>
      </w:r>
      <w:r w:rsidRPr="00270E64">
        <w:rPr>
          <w:rFonts w:eastAsia="新細明體" w:cs="新細明體"/>
          <w:sz w:val="20"/>
          <w:szCs w:val="20"/>
          <w:lang w:val="fr-FR" w:eastAsia="zh-TW"/>
        </w:rPr>
        <w:t>[…]</w:t>
      </w:r>
      <w:r w:rsidRPr="00270E64">
        <w:rPr>
          <w:rFonts w:ascii="新細明體" w:eastAsia="新細明體" w:hAnsi="新細明體" w:cs="新細明體" w:hint="eastAsia"/>
          <w:sz w:val="20"/>
          <w:szCs w:val="20"/>
          <w:lang w:val="fr-FR" w:eastAsia="zh-TW"/>
        </w:rPr>
        <w:t>何得比引此例以凡人定議，</w:t>
      </w:r>
      <w:r w:rsidR="00270E64" w:rsidRPr="00270E64">
        <w:rPr>
          <w:rFonts w:eastAsia="新細明體" w:cs="新細明體"/>
          <w:sz w:val="20"/>
          <w:szCs w:val="20"/>
          <w:lang w:val="fr-FR" w:eastAsia="zh-TW"/>
        </w:rPr>
        <w:t>[…]</w:t>
      </w:r>
      <w:r w:rsidR="00270E64" w:rsidRPr="00270E64">
        <w:rPr>
          <w:rFonts w:eastAsia="新細明體" w:cs="新細明體"/>
          <w:sz w:val="20"/>
          <w:szCs w:val="20"/>
          <w:lang w:val="fr-FR" w:eastAsia="zh-TW"/>
        </w:rPr>
        <w:t>弟毆胞兄致死名分攸關</w:t>
      </w:r>
      <w:r w:rsidR="00270E64" w:rsidRPr="00270E64">
        <w:rPr>
          <w:rFonts w:ascii="新細明體" w:eastAsia="新細明體" w:hAnsi="新細明體" w:cs="新細明體" w:hint="eastAsia"/>
          <w:sz w:val="20"/>
          <w:szCs w:val="20"/>
          <w:lang w:val="fr-FR" w:eastAsia="zh-TW"/>
        </w:rPr>
        <w:t>。</w:t>
      </w:r>
    </w:p>
    <w:p w14:paraId="76F33A09" w14:textId="77777777" w:rsidR="00AC20C2" w:rsidRDefault="00AC20C2" w:rsidP="001C6EAC">
      <w:pPr>
        <w:jc w:val="both"/>
      </w:pPr>
    </w:p>
    <w:p w14:paraId="66E2CCC9" w14:textId="084EEF87" w:rsidR="001A4D43" w:rsidRDefault="0071644A" w:rsidP="001C6EAC">
      <w:pPr>
        <w:ind w:firstLine="284"/>
        <w:jc w:val="both"/>
      </w:pPr>
      <w:r>
        <w:t>Rather than delve further into this case’s various dimensions</w:t>
      </w:r>
      <w:r w:rsidR="00FA3B6C">
        <w:t xml:space="preserve"> here</w:t>
      </w:r>
      <w:r>
        <w:t xml:space="preserve">, let us simply note that it neatly </w:t>
      </w:r>
      <w:r w:rsidR="001A4D43">
        <w:t xml:space="preserve">underlines the </w:t>
      </w:r>
      <w:r w:rsidR="00FA3B6C">
        <w:t xml:space="preserve">enduring </w:t>
      </w:r>
      <w:r w:rsidR="001A4D43">
        <w:t xml:space="preserve">tensions between the moral and the legal facets of </w:t>
      </w:r>
      <w:r w:rsidR="00FA3B6C">
        <w:t>judicial penalization</w:t>
      </w:r>
      <w:r w:rsidR="001A4D43">
        <w:t>: in traditional China as elsewhere, criminal laws were expected to mete out adequate punishments as “retributions</w:t>
      </w:r>
      <w:r w:rsidR="00270E64">
        <w:t>” for crimes.</w:t>
      </w:r>
      <w:r w:rsidR="00FA3B6C">
        <w:t xml:space="preserve"> In what follows, I would like to turn the attention back to this notion of “not being aware [of the seriousness of one’s act] whilst committing it”</w:t>
      </w:r>
      <w:r w:rsidR="005F04A7">
        <w:rPr>
          <w:rStyle w:val="Marquenotebasdepage"/>
        </w:rPr>
        <w:footnoteReference w:id="14"/>
      </w:r>
      <w:r w:rsidR="00FA3B6C">
        <w:t xml:space="preserve">. If, as we have seen, the </w:t>
      </w:r>
      <w:r w:rsidR="0029555E">
        <w:t xml:space="preserve">woeful consequences of </w:t>
      </w:r>
      <w:r w:rsidR="00FA3B6C">
        <w:t xml:space="preserve">a fit of madness such as the one experienced by Deng Tingmei did not qualify </w:t>
      </w:r>
      <w:r w:rsidR="0029555E">
        <w:t xml:space="preserve">to be included in the legal framework drawn out by this notion – despite </w:t>
      </w:r>
      <w:r w:rsidR="005F04A7">
        <w:t xml:space="preserve">its appeal </w:t>
      </w:r>
      <w:r w:rsidR="0029555E">
        <w:t>to our modern eyes</w:t>
      </w:r>
      <w:r w:rsidR="005F04A7">
        <w:t xml:space="preserve"> in the above-mentioned circumstances</w:t>
      </w:r>
      <w:r w:rsidR="0029555E">
        <w:t xml:space="preserve"> –, what type of unlawful act or situation might have </w:t>
      </w:r>
      <w:r w:rsidR="00D52AA4">
        <w:t xml:space="preserve">done so? To try to provide some elements of an answer to this question, I propose we follow a two-pronged path. First, we shall try to shed light on the actual meaning of the notion, in order to understand what exactly it was that it encompassed from a purely juridical point of view. Second, we shall turn to actual criminal cases in which this notion was brought forward, in order to get a better sense of the way it was not only conceptualized but also put to work. At the end of this process, I hope we might draw some conclusions on its role in the judicial framework of late imperial China, and </w:t>
      </w:r>
      <w:r w:rsidR="00E17925">
        <w:t xml:space="preserve">from there, </w:t>
      </w:r>
      <w:r w:rsidR="00D52AA4">
        <w:t xml:space="preserve">maybe </w:t>
      </w:r>
      <w:r w:rsidR="00E17925">
        <w:t xml:space="preserve">even get back to </w:t>
      </w:r>
      <w:r w:rsidR="00D52AA4">
        <w:t xml:space="preserve">the issue we actually started with, that of </w:t>
      </w:r>
      <w:r w:rsidR="005F04A7">
        <w:t xml:space="preserve">the unfortunate </w:t>
      </w:r>
      <w:r w:rsidR="00D52AA4">
        <w:t>Deng Tin</w:t>
      </w:r>
      <w:r w:rsidR="005F04A7">
        <w:t>gmei</w:t>
      </w:r>
      <w:r w:rsidR="00D52AA4">
        <w:t>.</w:t>
      </w:r>
    </w:p>
    <w:p w14:paraId="046AF528" w14:textId="77777777" w:rsidR="005F04A7" w:rsidRDefault="005F04A7" w:rsidP="001C6EAC">
      <w:pPr>
        <w:jc w:val="both"/>
      </w:pPr>
    </w:p>
    <w:p w14:paraId="164BB1BC" w14:textId="162869E3" w:rsidR="005F04A7" w:rsidRPr="0010389B" w:rsidRDefault="003D5415" w:rsidP="001C6EAC">
      <w:pPr>
        <w:jc w:val="both"/>
        <w:rPr>
          <w:b/>
        </w:rPr>
      </w:pPr>
      <w:r w:rsidRPr="0010389B">
        <w:rPr>
          <w:b/>
        </w:rPr>
        <w:t xml:space="preserve">The notion of </w:t>
      </w:r>
      <w:r w:rsidRPr="0010389B">
        <w:rPr>
          <w:b/>
          <w:i/>
        </w:rPr>
        <w:t>fan shi buzhi</w:t>
      </w:r>
      <w:r w:rsidRPr="0010389B">
        <w:rPr>
          <w:b/>
        </w:rPr>
        <w:t xml:space="preserve"> in Qing China’s legal construct</w:t>
      </w:r>
    </w:p>
    <w:p w14:paraId="2772ED0D" w14:textId="77777777" w:rsidR="003D5415" w:rsidRDefault="003D5415" w:rsidP="001C6EAC">
      <w:pPr>
        <w:jc w:val="both"/>
      </w:pPr>
    </w:p>
    <w:p w14:paraId="1E13B467" w14:textId="74FC9F9E" w:rsidR="001C6EAC" w:rsidRPr="001C6EAC" w:rsidRDefault="001C6EAC" w:rsidP="001C6EAC">
      <w:pPr>
        <w:jc w:val="both"/>
        <w:rPr>
          <w:i/>
        </w:rPr>
      </w:pPr>
      <w:r w:rsidRPr="001C6EAC">
        <w:rPr>
          <w:i/>
        </w:rPr>
        <w:t>Issues in translation</w:t>
      </w:r>
    </w:p>
    <w:p w14:paraId="21F6FB55" w14:textId="41CE0A0B" w:rsidR="00765E6C" w:rsidRDefault="003D5415" w:rsidP="001C6EAC">
      <w:pPr>
        <w:ind w:firstLine="284"/>
        <w:jc w:val="both"/>
      </w:pPr>
      <w:r>
        <w:t>As a first step, let us start by looking at the precise contents of</w:t>
      </w:r>
      <w:r w:rsidR="00E7081A">
        <w:t xml:space="preserve"> the</w:t>
      </w:r>
      <w:r>
        <w:t xml:space="preserve"> article</w:t>
      </w:r>
      <w:r w:rsidR="00E7081A">
        <w:t xml:space="preserve"> itself. To do so, I will </w:t>
      </w:r>
      <w:r w:rsidR="00CB7296">
        <w:t xml:space="preserve">mainly </w:t>
      </w:r>
      <w:r w:rsidR="00E7081A">
        <w:t xml:space="preserve">resort to its phrasing at it appears in the Ming Code, where it is ranked as number 37. </w:t>
      </w:r>
      <w:r w:rsidR="00CB7296">
        <w:t>I</w:t>
      </w:r>
      <w:r w:rsidR="00E7081A">
        <w:t xml:space="preserve">ts version in the Qing </w:t>
      </w:r>
      <w:r w:rsidR="00E7081A" w:rsidRPr="00765E6C">
        <w:t>Code</w:t>
      </w:r>
      <w:r w:rsidR="00E7081A">
        <w:t xml:space="preserve">, </w:t>
      </w:r>
      <w:r w:rsidR="00765E6C">
        <w:t>where it appears as number 35</w:t>
      </w:r>
      <w:r w:rsidR="00CB7296">
        <w:t>,</w:t>
      </w:r>
      <w:r w:rsidR="00765E6C">
        <w:t xml:space="preserve"> </w:t>
      </w:r>
      <w:r w:rsidR="00E7081A">
        <w:t xml:space="preserve">only </w:t>
      </w:r>
      <w:r w:rsidR="00484223">
        <w:t xml:space="preserve">slightly </w:t>
      </w:r>
      <w:r w:rsidR="00765E6C">
        <w:t>differs from the former</w:t>
      </w:r>
      <w:r w:rsidR="00E7081A">
        <w:t xml:space="preserve"> </w:t>
      </w:r>
      <w:r w:rsidR="00484223">
        <w:t>through the addition of a few interlinear not</w:t>
      </w:r>
      <w:r w:rsidR="00DB11F1">
        <w:t>es. While mine, the translation</w:t>
      </w:r>
      <w:r w:rsidR="00484223">
        <w:t xml:space="preserve"> that follow</w:t>
      </w:r>
      <w:r w:rsidR="00DB11F1">
        <w:t>s</w:t>
      </w:r>
      <w:r w:rsidR="00484223">
        <w:t xml:space="preserve"> </w:t>
      </w:r>
      <w:r w:rsidR="00DB11F1">
        <w:t xml:space="preserve">is </w:t>
      </w:r>
      <w:r w:rsidR="00484223">
        <w:t>inspired by those proposed by Jiang Yonglin in his work on the Ming Code, and Paul Lo</w:t>
      </w:r>
      <w:r w:rsidR="00D708F0">
        <w:t>uis Félix Philastre (1837-1902)</w:t>
      </w:r>
      <w:r w:rsidR="00484223">
        <w:t xml:space="preserve"> in is rendering of the Annamite Code, i.e. the traditional Vietnamese Code, which by and large </w:t>
      </w:r>
      <w:r w:rsidR="00765E6C">
        <w:t>reproduced the Qing Code</w:t>
      </w:r>
      <w:r w:rsidR="00765E6C">
        <w:rPr>
          <w:rStyle w:val="Marquenotebasdepage"/>
        </w:rPr>
        <w:footnoteReference w:id="15"/>
      </w:r>
      <w:r w:rsidR="00765E6C">
        <w:t>.</w:t>
      </w:r>
    </w:p>
    <w:p w14:paraId="7EFCDF6A" w14:textId="0BAB01E0" w:rsidR="003D5415" w:rsidRDefault="00765E6C" w:rsidP="001C6EAC">
      <w:pPr>
        <w:ind w:firstLine="284"/>
        <w:jc w:val="both"/>
      </w:pPr>
      <w:r>
        <w:t xml:space="preserve">The text of the </w:t>
      </w:r>
      <w:r w:rsidR="003D4B32">
        <w:t xml:space="preserve">Ming </w:t>
      </w:r>
      <w:r>
        <w:t xml:space="preserve">article is divided into </w:t>
      </w:r>
      <w:r w:rsidR="003D4B32">
        <w:t xml:space="preserve">the following </w:t>
      </w:r>
      <w:r w:rsidR="003B1E84">
        <w:t>three paragraphs (</w:t>
      </w:r>
      <w:r w:rsidR="003B1E84" w:rsidRPr="003B1E84">
        <w:rPr>
          <w:i/>
        </w:rPr>
        <w:t>jie</w:t>
      </w:r>
      <w:r w:rsidR="003B1E84">
        <w:t xml:space="preserve"> </w:t>
      </w:r>
      <w:r w:rsidR="003B1E84">
        <w:rPr>
          <w:rFonts w:ascii="新細明體" w:eastAsia="新細明體" w:hAnsi="新細明體" w:cs="新細明體" w:hint="eastAsia"/>
          <w:lang w:eastAsia="zh-TW"/>
        </w:rPr>
        <w:t>節</w:t>
      </w:r>
      <w:r w:rsidR="003B1E84">
        <w:t>)</w:t>
      </w:r>
      <w:r w:rsidR="00E7081A">
        <w:rPr>
          <w:lang w:val="fr-FR"/>
        </w:rPr>
        <w:t>:</w:t>
      </w:r>
    </w:p>
    <w:p w14:paraId="70EE4798" w14:textId="77777777" w:rsidR="005F04A7" w:rsidRDefault="005F04A7" w:rsidP="001C6EAC">
      <w:pPr>
        <w:jc w:val="both"/>
      </w:pPr>
    </w:p>
    <w:p w14:paraId="5201995F" w14:textId="3DBA2C98" w:rsidR="003D4B32" w:rsidRPr="003D4B32" w:rsidRDefault="003D4B32" w:rsidP="001C6EAC">
      <w:pPr>
        <w:ind w:firstLine="708"/>
        <w:jc w:val="both"/>
        <w:rPr>
          <w:rFonts w:ascii="新細明體" w:eastAsia="新細明體" w:hAnsi="新細明體" w:cs="新細明體"/>
          <w:sz w:val="20"/>
          <w:szCs w:val="20"/>
          <w:lang w:val="fr-FR" w:eastAsia="zh-TW"/>
        </w:rPr>
      </w:pPr>
      <w:r w:rsidRPr="003D4B32">
        <w:rPr>
          <w:rFonts w:ascii="新細明體" w:eastAsia="新細明體" w:hAnsi="新細明體" w:cs="新細明體" w:hint="eastAsia"/>
          <w:sz w:val="20"/>
          <w:szCs w:val="20"/>
          <w:lang w:eastAsia="zh-TW"/>
        </w:rPr>
        <w:t>本條別有罪名</w:t>
      </w:r>
      <w:r w:rsidRPr="003D4B32">
        <w:rPr>
          <w:rFonts w:eastAsia="新細明體" w:cs="Times New Roman"/>
          <w:sz w:val="20"/>
          <w:szCs w:val="20"/>
          <w:lang w:eastAsia="zh-TW"/>
        </w:rPr>
        <w:t> </w:t>
      </w:r>
      <w:r w:rsidRPr="003D4B32">
        <w:rPr>
          <w:rFonts w:eastAsia="新細明體" w:cs="Times New Roman"/>
          <w:sz w:val="20"/>
          <w:szCs w:val="20"/>
          <w:lang w:val="fr-FR" w:eastAsia="zh-TW"/>
        </w:rPr>
        <w:t>:</w:t>
      </w:r>
    </w:p>
    <w:p w14:paraId="59EDCF7F" w14:textId="504E62C8" w:rsidR="00E7081A" w:rsidRPr="003D4B32" w:rsidRDefault="00A242AD" w:rsidP="001C6EAC">
      <w:pPr>
        <w:ind w:firstLine="708"/>
        <w:jc w:val="both"/>
        <w:rPr>
          <w:rFonts w:ascii="新細明體" w:eastAsia="新細明體" w:hAnsi="新細明體" w:cs="新細明體"/>
          <w:sz w:val="20"/>
          <w:szCs w:val="20"/>
          <w:lang w:eastAsia="zh-TW"/>
        </w:rPr>
      </w:pPr>
      <w:r>
        <w:rPr>
          <w:rFonts w:eastAsia="新細明體" w:cs="Times New Roman"/>
          <w:sz w:val="20"/>
          <w:szCs w:val="20"/>
          <w:lang w:eastAsia="zh-TW"/>
        </w:rPr>
        <w:t xml:space="preserve">- </w:t>
      </w:r>
      <w:r w:rsidR="003D4B32" w:rsidRPr="003D4B32">
        <w:rPr>
          <w:rFonts w:ascii="新細明體" w:eastAsia="新細明體" w:hAnsi="新細明體" w:cs="新細明體" w:hint="eastAsia"/>
          <w:sz w:val="20"/>
          <w:szCs w:val="20"/>
          <w:lang w:eastAsia="zh-TW"/>
        </w:rPr>
        <w:t>凡本條自有罪名，與名例罪不同者，依本條科斷。</w:t>
      </w:r>
    </w:p>
    <w:p w14:paraId="04DFA39C" w14:textId="6A307FE6" w:rsidR="003D4B32" w:rsidRPr="003D4B32" w:rsidRDefault="00A242AD" w:rsidP="001C6EAC">
      <w:pPr>
        <w:ind w:firstLine="708"/>
        <w:jc w:val="both"/>
        <w:rPr>
          <w:rFonts w:ascii="新細明體" w:eastAsia="新細明體" w:hAnsi="新細明體" w:cs="新細明體"/>
          <w:sz w:val="20"/>
          <w:szCs w:val="20"/>
          <w:lang w:eastAsia="zh-TW"/>
        </w:rPr>
      </w:pPr>
      <w:r>
        <w:rPr>
          <w:rFonts w:eastAsia="新細明體" w:cs="Times New Roman"/>
          <w:sz w:val="20"/>
          <w:szCs w:val="20"/>
          <w:lang w:val="fr-FR" w:eastAsia="zh-TW"/>
        </w:rPr>
        <w:t xml:space="preserve">- </w:t>
      </w:r>
      <w:r w:rsidR="007D4579">
        <w:rPr>
          <w:rFonts w:ascii="新細明體" w:eastAsia="新細明體" w:hAnsi="新細明體" w:cs="新細明體" w:hint="eastAsia"/>
          <w:sz w:val="20"/>
          <w:szCs w:val="20"/>
          <w:lang w:eastAsia="zh-TW"/>
        </w:rPr>
        <w:t>若本條雖有罪名，其有所規避</w:t>
      </w:r>
      <w:r w:rsidR="003D4B32" w:rsidRPr="003D4B32">
        <w:rPr>
          <w:rFonts w:ascii="新細明體" w:eastAsia="新細明體" w:hAnsi="新細明體" w:cs="新細明體" w:hint="eastAsia"/>
          <w:sz w:val="20"/>
          <w:szCs w:val="20"/>
          <w:lang w:eastAsia="zh-TW"/>
        </w:rPr>
        <w:t>罪重者</w:t>
      </w:r>
      <w:r w:rsidR="007D4579">
        <w:rPr>
          <w:rFonts w:ascii="新細明體" w:eastAsia="新細明體" w:hAnsi="新細明體" w:cs="新細明體" w:hint="eastAsia"/>
          <w:sz w:val="20"/>
          <w:szCs w:val="20"/>
          <w:lang w:eastAsia="zh-TW"/>
        </w:rPr>
        <w:t>，</w:t>
      </w:r>
      <w:r w:rsidR="003D4B32" w:rsidRPr="003D4B32">
        <w:rPr>
          <w:rFonts w:ascii="新細明體" w:eastAsia="新細明體" w:hAnsi="新細明體" w:cs="新細明體" w:hint="eastAsia"/>
          <w:sz w:val="20"/>
          <w:szCs w:val="20"/>
          <w:lang w:eastAsia="zh-TW"/>
        </w:rPr>
        <w:t>自從重論。</w:t>
      </w:r>
    </w:p>
    <w:p w14:paraId="54875CB7" w14:textId="61A79450" w:rsidR="003D4B32" w:rsidRPr="003D4B32" w:rsidRDefault="00A242AD" w:rsidP="001C6EAC">
      <w:pPr>
        <w:ind w:left="708"/>
        <w:jc w:val="both"/>
        <w:rPr>
          <w:lang w:val="fr-FR"/>
        </w:rPr>
      </w:pPr>
      <w:r>
        <w:rPr>
          <w:rFonts w:eastAsia="新細明體" w:cs="Times New Roman"/>
          <w:sz w:val="20"/>
          <w:szCs w:val="20"/>
          <w:lang w:val="fr-FR" w:eastAsia="zh-TW"/>
        </w:rPr>
        <w:t xml:space="preserve">- </w:t>
      </w:r>
      <w:r w:rsidR="003D4B32" w:rsidRPr="003D4B32">
        <w:rPr>
          <w:rFonts w:ascii="新細明體" w:eastAsia="新細明體" w:hAnsi="新細明體" w:cs="新細明體" w:hint="eastAsia"/>
          <w:sz w:val="20"/>
          <w:szCs w:val="20"/>
          <w:lang w:eastAsia="zh-TW"/>
        </w:rPr>
        <w:t>其本應罪重，而犯時不知者，依凡人論。</w:t>
      </w:r>
      <w:r w:rsidR="003D4B32" w:rsidRPr="003D4B32">
        <w:rPr>
          <w:rFonts w:ascii="新細明體" w:eastAsia="新細明體" w:hAnsi="新細明體" w:cs="新細明體" w:hint="eastAsia"/>
          <w:sz w:val="16"/>
          <w:szCs w:val="16"/>
          <w:lang w:eastAsia="zh-TW"/>
        </w:rPr>
        <w:t>謂如叔姪別處生長，素不相識，姪打叔傷，官司推問，始知是叔，止依凡人歐法。又如別處竊盜，偷得大祀神御之物，如此之類，並是犯時不知，止依凡人論，同常盜之律。</w:t>
      </w:r>
      <w:r w:rsidR="003D4B32">
        <w:rPr>
          <w:rFonts w:eastAsia="新細明體" w:cs="Times New Roman"/>
          <w:lang w:eastAsia="zh-TW"/>
        </w:rPr>
        <w:t xml:space="preserve"> </w:t>
      </w:r>
      <w:r w:rsidR="003D4B32" w:rsidRPr="003D4B32">
        <w:rPr>
          <w:rFonts w:ascii="新細明體" w:eastAsia="新細明體" w:hAnsi="新細明體" w:cs="新細明體" w:hint="eastAsia"/>
          <w:sz w:val="20"/>
          <w:szCs w:val="20"/>
          <w:lang w:eastAsia="zh-TW"/>
        </w:rPr>
        <w:t>本應輕者，聽從本法。</w:t>
      </w:r>
      <w:r w:rsidR="003D4B32" w:rsidRPr="003D4B32">
        <w:rPr>
          <w:rFonts w:ascii="新細明體" w:eastAsia="新細明體" w:hAnsi="新細明體" w:cs="新細明體" w:hint="eastAsia"/>
          <w:sz w:val="16"/>
          <w:szCs w:val="16"/>
          <w:lang w:eastAsia="zh-TW"/>
        </w:rPr>
        <w:t>謂如父不識子，毆打之後，方始得知，止依打子法，不可以凡毆論。</w:t>
      </w:r>
    </w:p>
    <w:p w14:paraId="6CC270CE" w14:textId="77777777" w:rsidR="001A4D43" w:rsidRDefault="001A4D43" w:rsidP="001C6EAC">
      <w:pPr>
        <w:jc w:val="both"/>
        <w:rPr>
          <w:lang w:val="fr-FR"/>
        </w:rPr>
      </w:pPr>
    </w:p>
    <w:p w14:paraId="74F1A144" w14:textId="59FE7118" w:rsidR="00A242AD" w:rsidRPr="003E768D" w:rsidRDefault="000C7088" w:rsidP="001C6EAC">
      <w:pPr>
        <w:ind w:firstLine="708"/>
        <w:jc w:val="both"/>
        <w:rPr>
          <w:sz w:val="20"/>
          <w:szCs w:val="20"/>
          <w:lang w:val="fr-FR"/>
        </w:rPr>
      </w:pPr>
      <w:r w:rsidRPr="003E768D">
        <w:rPr>
          <w:sz w:val="20"/>
          <w:szCs w:val="20"/>
          <w:lang w:val="fr-FR"/>
        </w:rPr>
        <w:t>Specific articles having different penal denominations:</w:t>
      </w:r>
    </w:p>
    <w:p w14:paraId="18B17250" w14:textId="74C4B698" w:rsidR="000C7088" w:rsidRPr="003E768D" w:rsidRDefault="00A242AD" w:rsidP="001C6EAC">
      <w:pPr>
        <w:ind w:left="708"/>
        <w:jc w:val="both"/>
        <w:rPr>
          <w:sz w:val="20"/>
          <w:szCs w:val="20"/>
          <w:lang w:val="fr-FR"/>
        </w:rPr>
      </w:pPr>
      <w:r w:rsidRPr="003E768D">
        <w:rPr>
          <w:sz w:val="20"/>
          <w:szCs w:val="20"/>
          <w:lang w:val="fr-FR"/>
        </w:rPr>
        <w:t xml:space="preserve">- </w:t>
      </w:r>
      <w:r w:rsidR="000C7088" w:rsidRPr="003E768D">
        <w:rPr>
          <w:sz w:val="20"/>
          <w:szCs w:val="20"/>
          <w:lang w:val="fr-FR"/>
        </w:rPr>
        <w:t xml:space="preserve">In all cases where a specific article has a penal denomination that differs from those in the “laws on definitions and rules”, </w:t>
      </w:r>
      <w:r w:rsidR="007D4CB5" w:rsidRPr="003E768D">
        <w:rPr>
          <w:sz w:val="20"/>
          <w:szCs w:val="20"/>
          <w:lang w:val="fr-FR"/>
        </w:rPr>
        <w:t>adjudicate according to the specific article.</w:t>
      </w:r>
    </w:p>
    <w:p w14:paraId="031C347F" w14:textId="17B824D6" w:rsidR="007D4CB5" w:rsidRPr="003E768D" w:rsidRDefault="00A242AD" w:rsidP="001C6EAC">
      <w:pPr>
        <w:ind w:left="708"/>
        <w:jc w:val="both"/>
        <w:rPr>
          <w:sz w:val="20"/>
          <w:szCs w:val="20"/>
          <w:lang w:val="fr-FR"/>
        </w:rPr>
      </w:pPr>
      <w:r w:rsidRPr="003E768D">
        <w:rPr>
          <w:sz w:val="20"/>
          <w:szCs w:val="20"/>
          <w:lang w:val="fr-FR"/>
        </w:rPr>
        <w:t xml:space="preserve">- </w:t>
      </w:r>
      <w:r w:rsidR="00CA6EEB" w:rsidRPr="003E768D">
        <w:rPr>
          <w:sz w:val="20"/>
          <w:szCs w:val="20"/>
          <w:lang w:val="fr-FR"/>
        </w:rPr>
        <w:t>Although a specific article includes a given penal denomination</w:t>
      </w:r>
      <w:r w:rsidR="00C4174F">
        <w:rPr>
          <w:sz w:val="20"/>
          <w:szCs w:val="20"/>
          <w:lang w:val="fr-FR"/>
        </w:rPr>
        <w:t xml:space="preserve"> [for the crime committed]</w:t>
      </w:r>
      <w:r w:rsidR="00CA6EEB" w:rsidRPr="003E768D">
        <w:rPr>
          <w:sz w:val="20"/>
          <w:szCs w:val="20"/>
          <w:lang w:val="fr-FR"/>
        </w:rPr>
        <w:t xml:space="preserve">, if </w:t>
      </w:r>
      <w:r w:rsidR="00EC2639">
        <w:rPr>
          <w:sz w:val="20"/>
          <w:szCs w:val="20"/>
          <w:lang w:val="fr-FR"/>
        </w:rPr>
        <w:t>the motive</w:t>
      </w:r>
      <w:r w:rsidR="00C05FDE" w:rsidRPr="003E768D">
        <w:rPr>
          <w:sz w:val="20"/>
          <w:szCs w:val="20"/>
          <w:lang w:val="fr-FR"/>
        </w:rPr>
        <w:t xml:space="preserve"> or </w:t>
      </w:r>
      <w:r w:rsidR="00C9133E">
        <w:rPr>
          <w:sz w:val="20"/>
          <w:szCs w:val="20"/>
          <w:lang w:val="fr-FR"/>
        </w:rPr>
        <w:t xml:space="preserve">intent </w:t>
      </w:r>
      <w:r w:rsidR="00EC2639">
        <w:rPr>
          <w:sz w:val="20"/>
          <w:szCs w:val="20"/>
          <w:lang w:val="fr-FR"/>
        </w:rPr>
        <w:t xml:space="preserve">was </w:t>
      </w:r>
      <w:r w:rsidR="00C05FDE" w:rsidRPr="003E768D">
        <w:rPr>
          <w:sz w:val="20"/>
          <w:szCs w:val="20"/>
          <w:lang w:val="fr-FR"/>
        </w:rPr>
        <w:t xml:space="preserve">to avoid </w:t>
      </w:r>
      <w:r w:rsidR="00C4174F">
        <w:rPr>
          <w:sz w:val="20"/>
          <w:szCs w:val="20"/>
          <w:lang w:val="fr-FR"/>
        </w:rPr>
        <w:t>[</w:t>
      </w:r>
      <w:r w:rsidR="00C05FDE" w:rsidRPr="003E768D">
        <w:rPr>
          <w:sz w:val="20"/>
          <w:szCs w:val="20"/>
          <w:lang w:val="fr-FR"/>
        </w:rPr>
        <w:t xml:space="preserve">indictment </w:t>
      </w:r>
      <w:r w:rsidR="00C4174F">
        <w:rPr>
          <w:sz w:val="20"/>
          <w:szCs w:val="20"/>
          <w:lang w:val="fr-FR"/>
        </w:rPr>
        <w:t xml:space="preserve">for] </w:t>
      </w:r>
      <w:r w:rsidR="00C043DC" w:rsidRPr="003E768D">
        <w:rPr>
          <w:sz w:val="20"/>
          <w:szCs w:val="20"/>
          <w:lang w:val="fr-FR"/>
        </w:rPr>
        <w:t xml:space="preserve">a more serious </w:t>
      </w:r>
      <w:r w:rsidR="00C9133E">
        <w:rPr>
          <w:sz w:val="20"/>
          <w:szCs w:val="20"/>
          <w:lang w:val="fr-FR"/>
        </w:rPr>
        <w:t>crime</w:t>
      </w:r>
      <w:r w:rsidR="00C043DC" w:rsidRPr="003E768D">
        <w:rPr>
          <w:sz w:val="20"/>
          <w:szCs w:val="20"/>
          <w:lang w:val="fr-FR"/>
        </w:rPr>
        <w:t xml:space="preserve">, adjudicate according the provisions set </w:t>
      </w:r>
      <w:r w:rsidR="00C05FDE" w:rsidRPr="003E768D">
        <w:rPr>
          <w:sz w:val="20"/>
          <w:szCs w:val="20"/>
          <w:lang w:val="fr-FR"/>
        </w:rPr>
        <w:t xml:space="preserve">for </w:t>
      </w:r>
      <w:r w:rsidR="00C043DC" w:rsidRPr="003E768D">
        <w:rPr>
          <w:sz w:val="20"/>
          <w:szCs w:val="20"/>
          <w:lang w:val="fr-FR"/>
        </w:rPr>
        <w:t>the more serious [crime].</w:t>
      </w:r>
    </w:p>
    <w:p w14:paraId="3F533EC9" w14:textId="3E0FFC6E" w:rsidR="00C05FDE" w:rsidRPr="003D4B32" w:rsidRDefault="00A242AD" w:rsidP="001C6EAC">
      <w:pPr>
        <w:ind w:left="708"/>
        <w:jc w:val="both"/>
        <w:rPr>
          <w:lang w:val="fr-FR"/>
        </w:rPr>
      </w:pPr>
      <w:r w:rsidRPr="003E768D">
        <w:rPr>
          <w:sz w:val="20"/>
          <w:szCs w:val="20"/>
          <w:lang w:val="fr-FR"/>
        </w:rPr>
        <w:t xml:space="preserve">- </w:t>
      </w:r>
      <w:r w:rsidR="00762758">
        <w:rPr>
          <w:sz w:val="20"/>
          <w:szCs w:val="20"/>
          <w:lang w:val="fr-FR"/>
        </w:rPr>
        <w:t>In case</w:t>
      </w:r>
      <w:r w:rsidR="00C05FDE" w:rsidRPr="003E768D">
        <w:rPr>
          <w:sz w:val="20"/>
          <w:szCs w:val="20"/>
          <w:lang w:val="fr-FR"/>
        </w:rPr>
        <w:t xml:space="preserve"> </w:t>
      </w:r>
      <w:r w:rsidR="00C12876">
        <w:rPr>
          <w:sz w:val="20"/>
          <w:szCs w:val="20"/>
          <w:lang w:val="fr-FR"/>
        </w:rPr>
        <w:t xml:space="preserve">the </w:t>
      </w:r>
      <w:r w:rsidR="00762758">
        <w:rPr>
          <w:sz w:val="20"/>
          <w:szCs w:val="20"/>
          <w:lang w:val="fr-FR"/>
        </w:rPr>
        <w:t>crime</w:t>
      </w:r>
      <w:r w:rsidR="006F7896">
        <w:rPr>
          <w:sz w:val="20"/>
          <w:szCs w:val="20"/>
          <w:lang w:val="fr-FR"/>
        </w:rPr>
        <w:t xml:space="preserve"> </w:t>
      </w:r>
      <w:r w:rsidR="00C05FDE" w:rsidRPr="003E768D">
        <w:rPr>
          <w:sz w:val="20"/>
          <w:szCs w:val="20"/>
          <w:lang w:val="fr-FR"/>
        </w:rPr>
        <w:t>[</w:t>
      </w:r>
      <w:r w:rsidR="00762758">
        <w:rPr>
          <w:sz w:val="20"/>
          <w:szCs w:val="20"/>
          <w:lang w:val="fr-FR"/>
        </w:rPr>
        <w:t>committed</w:t>
      </w:r>
      <w:r w:rsidR="00C05FDE" w:rsidRPr="003E768D">
        <w:rPr>
          <w:sz w:val="20"/>
          <w:szCs w:val="20"/>
          <w:lang w:val="fr-FR"/>
        </w:rPr>
        <w:t xml:space="preserve">] </w:t>
      </w:r>
      <w:r w:rsidR="00C12876">
        <w:rPr>
          <w:sz w:val="20"/>
          <w:szCs w:val="20"/>
          <w:lang w:val="fr-FR"/>
        </w:rPr>
        <w:t xml:space="preserve">is more </w:t>
      </w:r>
      <w:r w:rsidR="00762758">
        <w:rPr>
          <w:sz w:val="20"/>
          <w:szCs w:val="20"/>
          <w:lang w:val="fr-FR"/>
        </w:rPr>
        <w:t xml:space="preserve">serious </w:t>
      </w:r>
      <w:r w:rsidR="00C12876">
        <w:rPr>
          <w:sz w:val="20"/>
          <w:szCs w:val="20"/>
          <w:lang w:val="fr-FR"/>
        </w:rPr>
        <w:t xml:space="preserve">[than that provided for in </w:t>
      </w:r>
      <w:r w:rsidR="00762758">
        <w:rPr>
          <w:sz w:val="20"/>
          <w:szCs w:val="20"/>
          <w:lang w:val="fr-FR"/>
        </w:rPr>
        <w:t>a specific law</w:t>
      </w:r>
      <w:r w:rsidR="00C12876">
        <w:rPr>
          <w:sz w:val="20"/>
          <w:szCs w:val="20"/>
          <w:lang w:val="fr-FR"/>
        </w:rPr>
        <w:t>]</w:t>
      </w:r>
      <w:r w:rsidR="00DA41EA" w:rsidRPr="003E768D">
        <w:rPr>
          <w:sz w:val="20"/>
          <w:szCs w:val="20"/>
          <w:lang w:val="fr-FR"/>
        </w:rPr>
        <w:t>, but that at the time of the deed the culprit was unaware [of the seriousness of his action], adjudicate according to the p</w:t>
      </w:r>
      <w:r w:rsidR="003E5125" w:rsidRPr="003E768D">
        <w:rPr>
          <w:sz w:val="20"/>
          <w:szCs w:val="20"/>
          <w:lang w:val="fr-FR"/>
        </w:rPr>
        <w:t xml:space="preserve">rovisions for ordinary people. </w:t>
      </w:r>
      <w:r w:rsidR="00DA41EA" w:rsidRPr="003E5125">
        <w:rPr>
          <w:sz w:val="16"/>
          <w:szCs w:val="16"/>
          <w:lang w:val="fr-FR"/>
        </w:rPr>
        <w:t xml:space="preserve">This means for example that in the case of an uncle and his nephew in the male line who have always lived in distant places and therefore do not </w:t>
      </w:r>
      <w:r w:rsidR="00594367" w:rsidRPr="003E5125">
        <w:rPr>
          <w:sz w:val="16"/>
          <w:szCs w:val="16"/>
          <w:lang w:val="fr-FR"/>
        </w:rPr>
        <w:t xml:space="preserve">know </w:t>
      </w:r>
      <w:r w:rsidR="00DA41EA" w:rsidRPr="003E5125">
        <w:rPr>
          <w:sz w:val="16"/>
          <w:szCs w:val="16"/>
          <w:lang w:val="fr-FR"/>
        </w:rPr>
        <w:t xml:space="preserve">each other, if it happens that the nephew hits his uncle and wounds him, </w:t>
      </w:r>
      <w:r w:rsidR="00594367" w:rsidRPr="003E5125">
        <w:rPr>
          <w:sz w:val="16"/>
          <w:szCs w:val="16"/>
          <w:lang w:val="fr-FR"/>
        </w:rPr>
        <w:t xml:space="preserve">and that during the investigation the officials come to know that [the victim] is the uncle, the adjudication should follow the provisions for brawls among ordinary individuals. Or if [a person] commits a robbery in another locale </w:t>
      </w:r>
      <w:r w:rsidR="003E5125">
        <w:rPr>
          <w:sz w:val="16"/>
          <w:szCs w:val="16"/>
          <w:lang w:val="fr-FR"/>
        </w:rPr>
        <w:t>and</w:t>
      </w:r>
      <w:r w:rsidR="00594367" w:rsidRPr="003E5125">
        <w:rPr>
          <w:sz w:val="16"/>
          <w:szCs w:val="16"/>
          <w:lang w:val="fr-FR"/>
        </w:rPr>
        <w:t xml:space="preserve"> </w:t>
      </w:r>
      <w:r w:rsidR="003E5125">
        <w:rPr>
          <w:sz w:val="16"/>
          <w:szCs w:val="16"/>
          <w:lang w:val="fr-FR"/>
        </w:rPr>
        <w:t>ends up with</w:t>
      </w:r>
      <w:r w:rsidR="00594367" w:rsidRPr="003E5125">
        <w:rPr>
          <w:sz w:val="16"/>
          <w:szCs w:val="16"/>
          <w:lang w:val="fr-FR"/>
        </w:rPr>
        <w:t xml:space="preserve"> objects used for the great sacrifice to the imperial spirits, the situation also per</w:t>
      </w:r>
      <w:r w:rsidR="003E5125">
        <w:rPr>
          <w:sz w:val="16"/>
          <w:szCs w:val="16"/>
          <w:lang w:val="fr-FR"/>
        </w:rPr>
        <w:t>t</w:t>
      </w:r>
      <w:r w:rsidR="00594367" w:rsidRPr="003E5125">
        <w:rPr>
          <w:sz w:val="16"/>
          <w:szCs w:val="16"/>
          <w:lang w:val="fr-FR"/>
        </w:rPr>
        <w:t>ains to the notion of unawareness [of the seriousness of the action] when committing it</w:t>
      </w:r>
      <w:r w:rsidR="00ED527E" w:rsidRPr="003E5125">
        <w:rPr>
          <w:sz w:val="16"/>
          <w:szCs w:val="16"/>
          <w:lang w:val="fr-FR"/>
        </w:rPr>
        <w:t>, [and there too] the adjudication should only follow the provisions for ordinary individuals</w:t>
      </w:r>
      <w:r w:rsidR="003E5125">
        <w:rPr>
          <w:sz w:val="16"/>
          <w:szCs w:val="16"/>
          <w:lang w:val="fr-FR"/>
        </w:rPr>
        <w:t>, according to the statut</w:t>
      </w:r>
      <w:r w:rsidR="00ED527E" w:rsidRPr="003E5125">
        <w:rPr>
          <w:sz w:val="16"/>
          <w:szCs w:val="16"/>
          <w:lang w:val="fr-FR"/>
        </w:rPr>
        <w:t>e on ordinary thefts.</w:t>
      </w:r>
      <w:r w:rsidR="00ED527E">
        <w:rPr>
          <w:lang w:val="fr-FR"/>
        </w:rPr>
        <w:t xml:space="preserve"> </w:t>
      </w:r>
      <w:r w:rsidR="00762758">
        <w:rPr>
          <w:sz w:val="20"/>
          <w:szCs w:val="20"/>
          <w:lang w:val="fr-FR"/>
        </w:rPr>
        <w:t xml:space="preserve">In case </w:t>
      </w:r>
      <w:r w:rsidR="00E17925">
        <w:rPr>
          <w:sz w:val="20"/>
          <w:szCs w:val="20"/>
          <w:lang w:val="fr-FR"/>
        </w:rPr>
        <w:t>[the crime]</w:t>
      </w:r>
      <w:r w:rsidR="00762758">
        <w:rPr>
          <w:sz w:val="20"/>
          <w:szCs w:val="20"/>
          <w:lang w:val="fr-FR"/>
        </w:rPr>
        <w:t xml:space="preserve"> is less serious,</w:t>
      </w:r>
      <w:r w:rsidR="00ED527E" w:rsidRPr="003E768D">
        <w:rPr>
          <w:sz w:val="20"/>
          <w:szCs w:val="20"/>
          <w:lang w:val="fr-FR"/>
        </w:rPr>
        <w:t xml:space="preserve"> adjudicat</w:t>
      </w:r>
      <w:r w:rsidRPr="003E768D">
        <w:rPr>
          <w:sz w:val="20"/>
          <w:szCs w:val="20"/>
          <w:lang w:val="fr-FR"/>
        </w:rPr>
        <w:t>e acc</w:t>
      </w:r>
      <w:r w:rsidR="003E5125" w:rsidRPr="003E768D">
        <w:rPr>
          <w:sz w:val="20"/>
          <w:szCs w:val="20"/>
          <w:lang w:val="fr-FR"/>
        </w:rPr>
        <w:t>o</w:t>
      </w:r>
      <w:r w:rsidRPr="003E768D">
        <w:rPr>
          <w:sz w:val="20"/>
          <w:szCs w:val="20"/>
          <w:lang w:val="fr-FR"/>
        </w:rPr>
        <w:t>r</w:t>
      </w:r>
      <w:r w:rsidR="003E5125" w:rsidRPr="003E768D">
        <w:rPr>
          <w:sz w:val="20"/>
          <w:szCs w:val="20"/>
          <w:lang w:val="fr-FR"/>
        </w:rPr>
        <w:t xml:space="preserve">ding to </w:t>
      </w:r>
      <w:r w:rsidR="00E17925">
        <w:rPr>
          <w:sz w:val="20"/>
          <w:szCs w:val="20"/>
          <w:lang w:val="fr-FR"/>
        </w:rPr>
        <w:t>the law [providing for the crime committed]</w:t>
      </w:r>
      <w:r w:rsidR="003E5125" w:rsidRPr="003E768D">
        <w:rPr>
          <w:sz w:val="20"/>
          <w:szCs w:val="20"/>
          <w:lang w:val="fr-FR"/>
        </w:rPr>
        <w:t xml:space="preserve">. </w:t>
      </w:r>
      <w:r w:rsidR="00ED527E" w:rsidRPr="003E5125">
        <w:rPr>
          <w:sz w:val="16"/>
          <w:szCs w:val="16"/>
          <w:lang w:val="fr-FR"/>
        </w:rPr>
        <w:t>This means for example that if a father has never known his son, and that this relationship becomes known only after he has beaten</w:t>
      </w:r>
      <w:r w:rsidR="00D65D7C">
        <w:rPr>
          <w:sz w:val="16"/>
          <w:szCs w:val="16"/>
          <w:lang w:val="fr-FR"/>
        </w:rPr>
        <w:t xml:space="preserve"> his son</w:t>
      </w:r>
      <w:r w:rsidR="00ED527E" w:rsidRPr="003E5125">
        <w:rPr>
          <w:sz w:val="16"/>
          <w:szCs w:val="16"/>
          <w:lang w:val="fr-FR"/>
        </w:rPr>
        <w:t xml:space="preserve">, adjudication should only follow the provisions included in the statute on hitting a son, </w:t>
      </w:r>
      <w:r w:rsidR="003E5125" w:rsidRPr="003E5125">
        <w:rPr>
          <w:sz w:val="16"/>
          <w:szCs w:val="16"/>
          <w:lang w:val="fr-FR"/>
        </w:rPr>
        <w:t>and not those for brawls among ordinary individuals.</w:t>
      </w:r>
    </w:p>
    <w:p w14:paraId="7A6E80B9" w14:textId="77777777" w:rsidR="001A4D43" w:rsidRDefault="001A4D43" w:rsidP="001C6EAC">
      <w:pPr>
        <w:jc w:val="both"/>
      </w:pPr>
    </w:p>
    <w:p w14:paraId="2CB41315" w14:textId="2C20578B" w:rsidR="00E0463B" w:rsidRDefault="00D65D7C" w:rsidP="001C6EAC">
      <w:pPr>
        <w:ind w:firstLine="284"/>
        <w:jc w:val="both"/>
        <w:rPr>
          <w:lang w:val="fr-FR" w:eastAsia="zh-TW"/>
        </w:rPr>
      </w:pPr>
      <w:r>
        <w:rPr>
          <w:lang w:val="fr-FR" w:eastAsia="zh-TW"/>
        </w:rPr>
        <w:t>Some observations on the above translation may be useful here. First, it will be noted that I resort to</w:t>
      </w:r>
      <w:r w:rsidR="00037B2F">
        <w:rPr>
          <w:lang w:val="fr-FR" w:eastAsia="zh-TW"/>
        </w:rPr>
        <w:t xml:space="preserve"> “penal denomination”</w:t>
      </w:r>
      <w:r w:rsidR="00A269DA">
        <w:rPr>
          <w:lang w:val="fr-FR" w:eastAsia="zh-TW"/>
        </w:rPr>
        <w:t xml:space="preserve"> </w:t>
      </w:r>
      <w:r>
        <w:rPr>
          <w:lang w:val="fr-FR" w:eastAsia="zh-TW"/>
        </w:rPr>
        <w:t xml:space="preserve">to render </w:t>
      </w:r>
      <w:r w:rsidR="00037B2F">
        <w:rPr>
          <w:lang w:val="fr-FR" w:eastAsia="zh-TW"/>
        </w:rPr>
        <w:t xml:space="preserve">the Chinese </w:t>
      </w:r>
      <w:r w:rsidR="00037B2F">
        <w:rPr>
          <w:rFonts w:ascii="新細明體" w:hAnsi="新細明體" w:cs="新細明體" w:hint="eastAsia"/>
          <w:lang w:val="fr-FR" w:eastAsia="zh-TW"/>
        </w:rPr>
        <w:t>罪名</w:t>
      </w:r>
      <w:r>
        <w:rPr>
          <w:lang w:val="fr-FR" w:eastAsia="zh-TW"/>
        </w:rPr>
        <w:t xml:space="preserve">into English. In this, </w:t>
      </w:r>
      <w:r w:rsidR="00037B2F">
        <w:rPr>
          <w:lang w:val="fr-FR" w:eastAsia="zh-TW"/>
        </w:rPr>
        <w:t xml:space="preserve">I part quite a ways from Jiang Yonglin’s use of “regulations for punishment” and from Philastre’s “disposition” </w:t>
      </w:r>
      <w:r w:rsidR="00E17925">
        <w:rPr>
          <w:lang w:val="fr-FR" w:eastAsia="zh-TW"/>
        </w:rPr>
        <w:t>(</w:t>
      </w:r>
      <w:r w:rsidR="00037B2F">
        <w:rPr>
          <w:lang w:val="fr-FR" w:eastAsia="zh-TW"/>
        </w:rPr>
        <w:t>in French</w:t>
      </w:r>
      <w:r w:rsidR="00E17925">
        <w:rPr>
          <w:lang w:val="fr-FR" w:eastAsia="zh-TW"/>
        </w:rPr>
        <w:t>)</w:t>
      </w:r>
      <w:r w:rsidR="00037B2F">
        <w:rPr>
          <w:lang w:val="fr-FR" w:eastAsia="zh-TW"/>
        </w:rPr>
        <w:t>, which can be rendered by “provision”</w:t>
      </w:r>
      <w:r w:rsidR="00037B2F">
        <w:rPr>
          <w:rStyle w:val="Marquenotebasdepage"/>
          <w:rFonts w:eastAsia="新細明體" w:cs="Times New Roman"/>
          <w:lang w:val="fr-FR" w:eastAsia="zh-TW"/>
        </w:rPr>
        <w:footnoteReference w:id="16"/>
      </w:r>
      <w:r w:rsidR="00037B2F">
        <w:rPr>
          <w:lang w:val="fr-FR" w:eastAsia="zh-TW"/>
        </w:rPr>
        <w:t xml:space="preserve">. </w:t>
      </w:r>
      <w:r w:rsidR="006B1016">
        <w:rPr>
          <w:lang w:val="fr-FR" w:eastAsia="zh-TW"/>
        </w:rPr>
        <w:t xml:space="preserve">If one sets aside the fact that </w:t>
      </w:r>
      <w:r w:rsidR="000E4D70">
        <w:rPr>
          <w:lang w:val="fr-FR" w:eastAsia="zh-TW"/>
        </w:rPr>
        <w:t>the term</w:t>
      </w:r>
      <w:r w:rsidR="00EC4314">
        <w:rPr>
          <w:lang w:val="fr-FR" w:eastAsia="zh-TW"/>
        </w:rPr>
        <w:t xml:space="preserve"> </w:t>
      </w:r>
      <w:r w:rsidR="006B1016">
        <w:rPr>
          <w:lang w:val="fr-FR" w:eastAsia="zh-TW"/>
        </w:rPr>
        <w:t xml:space="preserve">penal denomination reflects more </w:t>
      </w:r>
      <w:r w:rsidR="00EC4314">
        <w:rPr>
          <w:lang w:val="fr-FR" w:eastAsia="zh-TW"/>
        </w:rPr>
        <w:t>closely</w:t>
      </w:r>
      <w:r w:rsidR="006B1016">
        <w:rPr>
          <w:lang w:val="fr-FR" w:eastAsia="zh-TW"/>
        </w:rPr>
        <w:t xml:space="preserve"> the actual meaning of the </w:t>
      </w:r>
      <w:r w:rsidR="00EC4314">
        <w:rPr>
          <w:lang w:val="fr-FR" w:eastAsia="zh-TW"/>
        </w:rPr>
        <w:t xml:space="preserve">original </w:t>
      </w:r>
      <w:r w:rsidR="006B1016">
        <w:rPr>
          <w:lang w:val="fr-FR" w:eastAsia="zh-TW"/>
        </w:rPr>
        <w:t xml:space="preserve">Chinese compound, my choice stems from the idea that China’s age-long tradition of codified law was anchored in a legislative process </w:t>
      </w:r>
      <w:r w:rsidR="00EC4314">
        <w:rPr>
          <w:lang w:val="fr-FR" w:eastAsia="zh-TW"/>
        </w:rPr>
        <w:t>in which jurists strove to classify crimes into well defined categories</w:t>
      </w:r>
      <w:r w:rsidR="003E768D">
        <w:rPr>
          <w:lang w:val="fr-FR" w:eastAsia="zh-TW"/>
        </w:rPr>
        <w:t>,</w:t>
      </w:r>
      <w:r w:rsidR="00EC4314">
        <w:rPr>
          <w:lang w:val="fr-FR" w:eastAsia="zh-TW"/>
        </w:rPr>
        <w:t xml:space="preserve"> subsumed by precise penal denominations. In turn, these penal denominations </w:t>
      </w:r>
      <w:r w:rsidR="002820A7">
        <w:rPr>
          <w:lang w:val="fr-FR" w:eastAsia="zh-TW"/>
        </w:rPr>
        <w:t>were to provide</w:t>
      </w:r>
      <w:r w:rsidR="00EC4314">
        <w:rPr>
          <w:lang w:val="fr-FR" w:eastAsia="zh-TW"/>
        </w:rPr>
        <w:t xml:space="preserve"> for clear-cut punishments. Ideally, </w:t>
      </w:r>
      <w:r w:rsidR="000E4D70">
        <w:rPr>
          <w:lang w:val="fr-FR" w:eastAsia="zh-TW"/>
        </w:rPr>
        <w:t xml:space="preserve">for the local magistrate, </w:t>
      </w:r>
      <w:r w:rsidR="00EC4314">
        <w:rPr>
          <w:lang w:val="fr-FR" w:eastAsia="zh-TW"/>
        </w:rPr>
        <w:t xml:space="preserve">the process of adjudicating a case </w:t>
      </w:r>
      <w:r w:rsidR="000E4D70">
        <w:rPr>
          <w:lang w:val="fr-FR" w:eastAsia="zh-TW"/>
        </w:rPr>
        <w:t xml:space="preserve">came down to the requirement to pick out </w:t>
      </w:r>
      <w:r w:rsidR="003E768D">
        <w:rPr>
          <w:lang w:val="fr-FR" w:eastAsia="zh-TW"/>
        </w:rPr>
        <w:t xml:space="preserve">among all </w:t>
      </w:r>
      <w:r w:rsidR="000E4D70">
        <w:rPr>
          <w:lang w:val="fr-FR" w:eastAsia="zh-TW"/>
        </w:rPr>
        <w:t xml:space="preserve">the </w:t>
      </w:r>
      <w:r w:rsidR="003E768D">
        <w:rPr>
          <w:lang w:val="fr-FR" w:eastAsia="zh-TW"/>
        </w:rPr>
        <w:t xml:space="preserve">penal denominations included in the Code the one </w:t>
      </w:r>
      <w:r w:rsidR="000E4D70">
        <w:rPr>
          <w:lang w:val="fr-FR" w:eastAsia="zh-TW"/>
        </w:rPr>
        <w:t xml:space="preserve">most adequate for the crime investigated, </w:t>
      </w:r>
      <w:r w:rsidR="003E768D">
        <w:rPr>
          <w:lang w:val="fr-FR" w:eastAsia="zh-TW"/>
        </w:rPr>
        <w:t xml:space="preserve">choice </w:t>
      </w:r>
      <w:r w:rsidR="000E4D70">
        <w:rPr>
          <w:lang w:val="fr-FR" w:eastAsia="zh-TW"/>
        </w:rPr>
        <w:t xml:space="preserve">from which </w:t>
      </w:r>
      <w:r w:rsidR="003E768D">
        <w:rPr>
          <w:lang w:val="fr-FR" w:eastAsia="zh-TW"/>
        </w:rPr>
        <w:t>a</w:t>
      </w:r>
      <w:r w:rsidR="000E4D70">
        <w:rPr>
          <w:lang w:val="fr-FR" w:eastAsia="zh-TW"/>
        </w:rPr>
        <w:t xml:space="preserve"> sentence </w:t>
      </w:r>
      <w:r w:rsidR="003E768D">
        <w:rPr>
          <w:lang w:val="fr-FR" w:eastAsia="zh-TW"/>
        </w:rPr>
        <w:t>would stem</w:t>
      </w:r>
      <w:r w:rsidR="008347E1">
        <w:rPr>
          <w:lang w:val="fr-FR" w:eastAsia="zh-TW"/>
        </w:rPr>
        <w:t xml:space="preserve">, so to </w:t>
      </w:r>
      <w:r w:rsidR="000E4D70">
        <w:rPr>
          <w:lang w:val="fr-FR" w:eastAsia="zh-TW"/>
        </w:rPr>
        <w:t>speak</w:t>
      </w:r>
      <w:r w:rsidR="008347E1">
        <w:rPr>
          <w:lang w:val="fr-FR" w:eastAsia="zh-TW"/>
        </w:rPr>
        <w:t>,</w:t>
      </w:r>
      <w:r w:rsidR="000E4D70">
        <w:rPr>
          <w:lang w:val="fr-FR" w:eastAsia="zh-TW"/>
        </w:rPr>
        <w:t xml:space="preserve"> automatically</w:t>
      </w:r>
      <w:r w:rsidR="009F7ECA">
        <w:rPr>
          <w:rStyle w:val="Marquenotebasdepage"/>
          <w:lang w:val="fr-FR" w:eastAsia="zh-TW"/>
        </w:rPr>
        <w:footnoteReference w:id="17"/>
      </w:r>
      <w:r w:rsidR="000E4D70">
        <w:rPr>
          <w:lang w:val="fr-FR" w:eastAsia="zh-TW"/>
        </w:rPr>
        <w:t xml:space="preserve">. </w:t>
      </w:r>
      <w:r w:rsidR="009F7ECA">
        <w:rPr>
          <w:lang w:val="fr-FR" w:eastAsia="zh-TW"/>
        </w:rPr>
        <w:t xml:space="preserve">The above statute sets a procedural framework for dealing with cases in which, for various reasons, the acts committed could be linked to more than one category of crime. I thus feel that the term penal denomination to render </w:t>
      </w:r>
      <w:r w:rsidR="009F7ECA" w:rsidRPr="009F7ECA">
        <w:rPr>
          <w:i/>
          <w:lang w:val="fr-FR" w:eastAsia="zh-TW"/>
        </w:rPr>
        <w:t>zuiming</w:t>
      </w:r>
      <w:r w:rsidR="009F7ECA">
        <w:rPr>
          <w:lang w:val="fr-FR" w:eastAsia="zh-TW"/>
        </w:rPr>
        <w:t xml:space="preserve"> here, is more adequate than the “regulations for punishment” adopted by Jiang Yonglin, and more precise than the “provision” to which Philastre resorted to.</w:t>
      </w:r>
    </w:p>
    <w:p w14:paraId="26B6E25D" w14:textId="1B179046" w:rsidR="00652D6E" w:rsidRDefault="00AE3645" w:rsidP="001C6EAC">
      <w:pPr>
        <w:ind w:firstLine="284"/>
        <w:jc w:val="both"/>
        <w:rPr>
          <w:rFonts w:eastAsia="新細明體" w:cs="Times New Roman"/>
          <w:lang w:val="fr-FR" w:eastAsia="zh-TW"/>
        </w:rPr>
      </w:pPr>
      <w:r>
        <w:rPr>
          <w:lang w:val="fr-FR" w:eastAsia="zh-TW"/>
        </w:rPr>
        <w:t xml:space="preserve">The second point I would like to address is linked to my English rendering of the second paragraph of the statute. </w:t>
      </w:r>
      <w:r w:rsidR="00485D42">
        <w:rPr>
          <w:lang w:val="fr-FR" w:eastAsia="zh-TW"/>
        </w:rPr>
        <w:t xml:space="preserve">Here too, I part from Jiang’s </w:t>
      </w:r>
      <w:r w:rsidR="00C4174F">
        <w:rPr>
          <w:lang w:val="fr-FR" w:eastAsia="zh-TW"/>
        </w:rPr>
        <w:t>translation</w:t>
      </w:r>
      <w:r w:rsidR="00DB6F70">
        <w:rPr>
          <w:lang w:val="fr-FR" w:eastAsia="zh-TW"/>
        </w:rPr>
        <w:t>,</w:t>
      </w:r>
      <w:r w:rsidR="00485D42">
        <w:rPr>
          <w:lang w:val="fr-FR" w:eastAsia="zh-TW"/>
        </w:rPr>
        <w:t xml:space="preserve"> which is as follows: </w:t>
      </w:r>
      <w:r w:rsidR="00485D42">
        <w:rPr>
          <w:lang w:val="fr-FR"/>
        </w:rPr>
        <w:t>“Although the specific articles have specified regulations for punishment, if the criminals [use those articles] to circumvent the law [</w:t>
      </w:r>
      <w:r w:rsidR="00485D42" w:rsidRPr="00CB327D">
        <w:rPr>
          <w:i/>
          <w:lang w:val="fr-FR"/>
        </w:rPr>
        <w:t>guibi</w:t>
      </w:r>
      <w:r w:rsidR="00485D42">
        <w:rPr>
          <w:lang w:val="fr-FR"/>
        </w:rPr>
        <w:t>], and the crimes result in heavier penalties, they shall be punished in accordance with the heavier penalties”</w:t>
      </w:r>
      <w:r w:rsidR="00485D42" w:rsidRPr="00485D42">
        <w:rPr>
          <w:rStyle w:val="Marquenotebasdepage"/>
          <w:lang w:val="fr-FR"/>
        </w:rPr>
        <w:footnoteReference w:id="18"/>
      </w:r>
      <w:r w:rsidR="00485D42">
        <w:rPr>
          <w:lang w:val="fr-FR"/>
        </w:rPr>
        <w:t>.</w:t>
      </w:r>
      <w:r w:rsidR="00C4174F">
        <w:rPr>
          <w:lang w:val="fr-FR"/>
        </w:rPr>
        <w:t xml:space="preserve"> The o</w:t>
      </w:r>
      <w:r w:rsidR="008C0A6B">
        <w:rPr>
          <w:lang w:val="fr-FR"/>
        </w:rPr>
        <w:t xml:space="preserve">ption I have followed is linked to </w:t>
      </w:r>
      <w:r w:rsidR="00B268AF">
        <w:rPr>
          <w:lang w:val="fr-FR"/>
        </w:rPr>
        <w:t xml:space="preserve">some annotations about this </w:t>
      </w:r>
      <w:r w:rsidR="008C0A6B">
        <w:rPr>
          <w:lang w:val="fr-FR"/>
        </w:rPr>
        <w:t xml:space="preserve">passage </w:t>
      </w:r>
      <w:r w:rsidR="00B268AF">
        <w:rPr>
          <w:lang w:val="fr-FR"/>
        </w:rPr>
        <w:t xml:space="preserve">found </w:t>
      </w:r>
      <w:r w:rsidR="008C0A6B">
        <w:rPr>
          <w:lang w:val="fr-FR"/>
        </w:rPr>
        <w:t xml:space="preserve">in some Ming era commentaries of the Code. The editor’s note to </w:t>
      </w:r>
      <w:r w:rsidR="005D5C9E">
        <w:rPr>
          <w:lang w:val="fr-FR"/>
        </w:rPr>
        <w:t xml:space="preserve">this statute in the </w:t>
      </w:r>
      <w:r w:rsidR="008C0A6B" w:rsidRPr="008C0A6B">
        <w:rPr>
          <w:i/>
          <w:lang w:val="fr-FR"/>
        </w:rPr>
        <w:t>Da Minglü jijie fuli</w:t>
      </w:r>
      <w:r w:rsidR="008C0A6B">
        <w:rPr>
          <w:lang w:val="fr-FR"/>
        </w:rPr>
        <w:t xml:space="preserve"> </w:t>
      </w:r>
      <w:r w:rsidR="008C0A6B">
        <w:rPr>
          <w:rFonts w:ascii="新細明體" w:eastAsia="新細明體" w:hAnsi="新細明體" w:cs="新細明體" w:hint="eastAsia"/>
          <w:lang w:val="fr-FR" w:eastAsia="zh-TW"/>
        </w:rPr>
        <w:t>大明律集解附例</w:t>
      </w:r>
      <w:r w:rsidR="008C0A6B">
        <w:rPr>
          <w:lang w:val="fr-FR"/>
        </w:rPr>
        <w:t xml:space="preserve"> (Commented edition of the Great Ming Code with substatutes appended)</w:t>
      </w:r>
      <w:r w:rsidR="005D5C9E">
        <w:rPr>
          <w:lang w:val="fr-FR"/>
        </w:rPr>
        <w:t>,</w:t>
      </w:r>
      <w:r w:rsidR="008C0A6B">
        <w:rPr>
          <w:lang w:val="fr-FR"/>
        </w:rPr>
        <w:t xml:space="preserve"> for example</w:t>
      </w:r>
      <w:r w:rsidR="005D5C9E">
        <w:rPr>
          <w:lang w:val="fr-FR"/>
        </w:rPr>
        <w:t xml:space="preserve">, </w:t>
      </w:r>
      <w:r w:rsidR="00B268AF">
        <w:rPr>
          <w:lang w:val="fr-FR"/>
        </w:rPr>
        <w:t xml:space="preserve">glosses </w:t>
      </w:r>
      <w:r w:rsidR="005D5C9E">
        <w:rPr>
          <w:lang w:val="fr-FR"/>
        </w:rPr>
        <w:t xml:space="preserve">the </w:t>
      </w:r>
      <w:r w:rsidR="00B268AF">
        <w:rPr>
          <w:lang w:val="fr-FR"/>
        </w:rPr>
        <w:t xml:space="preserve">terms </w:t>
      </w:r>
      <w:r w:rsidR="005D5C9E" w:rsidRPr="005D5C9E">
        <w:rPr>
          <w:i/>
          <w:lang w:val="fr-FR"/>
        </w:rPr>
        <w:t>gui</w:t>
      </w:r>
      <w:r w:rsidR="00B268AF">
        <w:rPr>
          <w:lang w:val="fr-FR"/>
        </w:rPr>
        <w:t xml:space="preserve"> and </w:t>
      </w:r>
      <w:r w:rsidR="005D5C9E" w:rsidRPr="005D5C9E">
        <w:rPr>
          <w:i/>
          <w:lang w:val="fr-FR"/>
        </w:rPr>
        <w:t>bi</w:t>
      </w:r>
      <w:r w:rsidR="005D5C9E">
        <w:rPr>
          <w:lang w:val="fr-FR"/>
        </w:rPr>
        <w:t xml:space="preserve"> </w:t>
      </w:r>
      <w:r w:rsidR="00B268AF">
        <w:rPr>
          <w:lang w:val="fr-FR"/>
        </w:rPr>
        <w:t>(</w:t>
      </w:r>
      <w:r w:rsidR="005D5C9E">
        <w:rPr>
          <w:rFonts w:ascii="新細明體" w:eastAsia="新細明體" w:hAnsi="新細明體" w:cs="新細明體" w:hint="eastAsia"/>
          <w:lang w:val="fr-FR" w:eastAsia="zh-TW"/>
        </w:rPr>
        <w:t>規避</w:t>
      </w:r>
      <w:r w:rsidR="00B268AF">
        <w:rPr>
          <w:rFonts w:eastAsia="新細明體" w:cs="Times New Roman"/>
          <w:lang w:val="fr-FR" w:eastAsia="zh-TW"/>
        </w:rPr>
        <w:t xml:space="preserve">) as respectively </w:t>
      </w:r>
      <w:r w:rsidR="00B268AF" w:rsidRPr="00B268AF">
        <w:rPr>
          <w:rFonts w:eastAsia="新細明體" w:cs="Times New Roman"/>
          <w:i/>
          <w:lang w:val="fr-FR" w:eastAsia="zh-TW"/>
        </w:rPr>
        <w:t>qiutan</w:t>
      </w:r>
      <w:r w:rsidR="00B268AF">
        <w:rPr>
          <w:rFonts w:eastAsia="新細明體" w:cs="Times New Roman"/>
          <w:lang w:val="fr-FR" w:eastAsia="zh-TW"/>
        </w:rPr>
        <w:t xml:space="preserve"> </w:t>
      </w:r>
      <w:r w:rsidR="00B268AF">
        <w:rPr>
          <w:rFonts w:ascii="新細明體" w:eastAsia="新細明體" w:hAnsi="新細明體" w:cs="新細明體" w:hint="eastAsia"/>
          <w:lang w:val="fr-FR" w:eastAsia="zh-TW"/>
        </w:rPr>
        <w:t>求探</w:t>
      </w:r>
      <w:r w:rsidR="00DB11F1">
        <w:rPr>
          <w:rStyle w:val="Marquenotebasdepage"/>
          <w:rFonts w:ascii="新細明體" w:eastAsia="新細明體" w:hAnsi="新細明體" w:cs="新細明體"/>
          <w:lang w:val="fr-FR" w:eastAsia="zh-TW"/>
        </w:rPr>
        <w:footnoteReference w:id="19"/>
      </w:r>
      <w:r w:rsidR="00B268AF">
        <w:rPr>
          <w:rFonts w:eastAsia="新細明體" w:cs="Times New Roman"/>
          <w:lang w:val="fr-FR" w:eastAsia="zh-TW"/>
        </w:rPr>
        <w:t xml:space="preserve"> or </w:t>
      </w:r>
      <w:r w:rsidR="00B268AF" w:rsidRPr="00B268AF">
        <w:rPr>
          <w:rFonts w:eastAsia="新細明體" w:cs="Times New Roman"/>
          <w:i/>
          <w:lang w:val="fr-FR" w:eastAsia="zh-TW"/>
        </w:rPr>
        <w:t>qiuli</w:t>
      </w:r>
      <w:r w:rsidR="00B268AF">
        <w:rPr>
          <w:rFonts w:eastAsia="新細明體" w:cs="Times New Roman"/>
          <w:lang w:val="fr-FR" w:eastAsia="zh-TW"/>
        </w:rPr>
        <w:t xml:space="preserve"> </w:t>
      </w:r>
      <w:r w:rsidR="00B268AF">
        <w:rPr>
          <w:rFonts w:ascii="新細明體" w:eastAsia="新細明體" w:hAnsi="新細明體" w:cs="新細明體" w:hint="eastAsia"/>
          <w:lang w:val="fr-FR" w:eastAsia="zh-TW"/>
        </w:rPr>
        <w:t>求利</w:t>
      </w:r>
      <w:r w:rsidR="00B268AF">
        <w:rPr>
          <w:rFonts w:eastAsia="新細明體" w:cs="Times New Roman"/>
          <w:lang w:val="fr-FR" w:eastAsia="zh-TW"/>
        </w:rPr>
        <w:t xml:space="preserve">, “seeking profit”, and </w:t>
      </w:r>
      <w:r w:rsidR="00B268AF" w:rsidRPr="00B268AF">
        <w:rPr>
          <w:rFonts w:eastAsia="新細明體" w:cs="Times New Roman"/>
          <w:i/>
          <w:lang w:val="fr-FR" w:eastAsia="zh-TW"/>
        </w:rPr>
        <w:t>huibi</w:t>
      </w:r>
      <w:r w:rsidR="00B268AF">
        <w:rPr>
          <w:rFonts w:eastAsia="新細明體" w:cs="Times New Roman"/>
          <w:lang w:val="fr-FR" w:eastAsia="zh-TW"/>
        </w:rPr>
        <w:t xml:space="preserve"> </w:t>
      </w:r>
      <w:r w:rsidR="00B268AF">
        <w:rPr>
          <w:rFonts w:ascii="新細明體" w:eastAsia="新細明體" w:hAnsi="新細明體" w:cs="新細明體" w:hint="eastAsia"/>
          <w:lang w:val="fr-FR" w:eastAsia="zh-TW"/>
        </w:rPr>
        <w:t>迴避</w:t>
      </w:r>
      <w:r w:rsidR="00B268AF">
        <w:rPr>
          <w:rFonts w:eastAsia="新細明體" w:cs="Times New Roman"/>
          <w:lang w:val="fr-FR" w:eastAsia="zh-TW"/>
        </w:rPr>
        <w:t xml:space="preserve"> or </w:t>
      </w:r>
      <w:r w:rsidR="00B268AF" w:rsidRPr="00B268AF">
        <w:rPr>
          <w:rFonts w:eastAsia="新細明體" w:cs="Times New Roman"/>
          <w:i/>
          <w:lang w:val="fr-FR" w:eastAsia="zh-TW"/>
        </w:rPr>
        <w:t>tuozui</w:t>
      </w:r>
      <w:r w:rsidR="00B268AF">
        <w:rPr>
          <w:rFonts w:eastAsia="新細明體" w:cs="Times New Roman"/>
          <w:lang w:val="fr-FR" w:eastAsia="zh-TW"/>
        </w:rPr>
        <w:t xml:space="preserve"> </w:t>
      </w:r>
      <w:r w:rsidR="00B268AF">
        <w:rPr>
          <w:rFonts w:ascii="新細明體" w:eastAsia="新細明體" w:hAnsi="新細明體" w:cs="新細明體" w:hint="eastAsia"/>
          <w:lang w:val="fr-FR" w:eastAsia="zh-TW"/>
        </w:rPr>
        <w:t>脫罪</w:t>
      </w:r>
      <w:r w:rsidR="00DB6F70">
        <w:rPr>
          <w:rFonts w:eastAsia="新細明體" w:cs="Times New Roman"/>
          <w:lang w:val="fr-FR" w:eastAsia="zh-TW"/>
        </w:rPr>
        <w:t>, “avoid” or “elude</w:t>
      </w:r>
      <w:r w:rsidR="00423EDE">
        <w:rPr>
          <w:rFonts w:eastAsia="新細明體" w:cs="Times New Roman"/>
          <w:lang w:val="fr-FR" w:eastAsia="zh-TW"/>
        </w:rPr>
        <w:t xml:space="preserve"> punishment”. It does make clear, though, that the meaning of the compound itself ought not necessarily to be limited to these interpretations only</w:t>
      </w:r>
      <w:r w:rsidR="00423EDE">
        <w:rPr>
          <w:rStyle w:val="Marquenotebasdepage"/>
          <w:rFonts w:eastAsia="新細明體" w:cs="Times New Roman"/>
          <w:lang w:val="fr-FR" w:eastAsia="zh-TW"/>
        </w:rPr>
        <w:footnoteReference w:id="20"/>
      </w:r>
      <w:r w:rsidR="00423EDE">
        <w:rPr>
          <w:rFonts w:eastAsia="新細明體" w:cs="Times New Roman"/>
          <w:lang w:val="fr-FR" w:eastAsia="zh-TW"/>
        </w:rPr>
        <w:t xml:space="preserve">. </w:t>
      </w:r>
      <w:r w:rsidR="00AF1CAE">
        <w:rPr>
          <w:rFonts w:eastAsia="新細明體" w:cs="Times New Roman"/>
          <w:lang w:val="fr-FR" w:eastAsia="zh-TW"/>
        </w:rPr>
        <w:t xml:space="preserve">It seems to me that while the translation “avoid” or, for that matter, “circumvent”, is adequate, the wider semantic dimension of </w:t>
      </w:r>
      <w:r w:rsidR="00AF1CAE" w:rsidRPr="00AF1CAE">
        <w:rPr>
          <w:rFonts w:eastAsia="新細明體" w:cs="Times New Roman"/>
          <w:i/>
          <w:lang w:val="fr-FR" w:eastAsia="zh-TW"/>
        </w:rPr>
        <w:t>guibi</w:t>
      </w:r>
      <w:r w:rsidR="00AF1CAE">
        <w:rPr>
          <w:rFonts w:eastAsia="新細明體" w:cs="Times New Roman"/>
          <w:lang w:val="fr-FR" w:eastAsia="zh-TW"/>
        </w:rPr>
        <w:t xml:space="preserve"> must be conveyed in a manner or another, </w:t>
      </w:r>
      <w:r w:rsidR="007143C9">
        <w:rPr>
          <w:rFonts w:eastAsia="新細明體" w:cs="Times New Roman"/>
          <w:lang w:val="fr-FR" w:eastAsia="zh-TW"/>
        </w:rPr>
        <w:t>t</w:t>
      </w:r>
      <w:r w:rsidR="00CB7296">
        <w:rPr>
          <w:rFonts w:eastAsia="新細明體" w:cs="Times New Roman"/>
          <w:lang w:val="fr-FR" w:eastAsia="zh-TW"/>
        </w:rPr>
        <w:t>hus my use of the terms “motive</w:t>
      </w:r>
      <w:r w:rsidR="007143C9">
        <w:rPr>
          <w:rFonts w:eastAsia="新細明體" w:cs="Times New Roman"/>
          <w:lang w:val="fr-FR" w:eastAsia="zh-TW"/>
        </w:rPr>
        <w:t xml:space="preserve">” and “intent”. In this, I try to </w:t>
      </w:r>
      <w:r w:rsidR="00A87ECD">
        <w:rPr>
          <w:rFonts w:eastAsia="新細明體" w:cs="Times New Roman"/>
          <w:lang w:val="fr-FR" w:eastAsia="zh-TW"/>
        </w:rPr>
        <w:t xml:space="preserve">follow </w:t>
      </w:r>
      <w:r w:rsidR="007143C9">
        <w:rPr>
          <w:rFonts w:eastAsia="新細明體" w:cs="Times New Roman"/>
          <w:lang w:val="fr-FR" w:eastAsia="zh-TW"/>
        </w:rPr>
        <w:t xml:space="preserve">the explanations provided </w:t>
      </w:r>
      <w:r w:rsidR="00272D26">
        <w:rPr>
          <w:rFonts w:eastAsia="新細明體" w:cs="Times New Roman"/>
          <w:lang w:val="fr-FR" w:eastAsia="zh-TW"/>
        </w:rPr>
        <w:t xml:space="preserve">in the commentaries of </w:t>
      </w:r>
      <w:r w:rsidR="00A87ECD">
        <w:rPr>
          <w:rFonts w:eastAsia="新細明體" w:cs="Times New Roman"/>
          <w:lang w:val="fr-FR" w:eastAsia="zh-TW"/>
        </w:rPr>
        <w:t xml:space="preserve">Wang Kentang </w:t>
      </w:r>
      <w:r w:rsidR="00A87ECD">
        <w:rPr>
          <w:rFonts w:ascii="新細明體" w:eastAsia="新細明體" w:hAnsi="新細明體" w:cs="新細明體" w:hint="eastAsia"/>
          <w:lang w:val="fr-FR" w:eastAsia="zh-TW"/>
        </w:rPr>
        <w:t>王肯堂</w:t>
      </w:r>
      <w:r w:rsidR="00A87ECD">
        <w:rPr>
          <w:rFonts w:eastAsia="新細明體" w:cs="Times New Roman"/>
          <w:lang w:val="fr-FR" w:eastAsia="zh-TW"/>
        </w:rPr>
        <w:t xml:space="preserve"> (</w:t>
      </w:r>
      <w:r w:rsidR="009A5546">
        <w:rPr>
          <w:rFonts w:eastAsia="新細明體" w:cs="Times New Roman"/>
          <w:lang w:val="fr-FR" w:eastAsia="zh-TW"/>
        </w:rPr>
        <w:t>1549-1613</w:t>
      </w:r>
      <w:r w:rsidR="00A87ECD">
        <w:rPr>
          <w:rFonts w:eastAsia="新細明體" w:cs="Times New Roman"/>
          <w:lang w:val="fr-FR" w:eastAsia="zh-TW"/>
        </w:rPr>
        <w:t xml:space="preserve">) </w:t>
      </w:r>
      <w:r w:rsidR="00272D26">
        <w:rPr>
          <w:rFonts w:eastAsia="新細明體" w:cs="Times New Roman"/>
          <w:lang w:val="fr-FR" w:eastAsia="zh-TW"/>
        </w:rPr>
        <w:t xml:space="preserve">and </w:t>
      </w:r>
      <w:r w:rsidR="00A87ECD">
        <w:rPr>
          <w:rFonts w:eastAsia="新細明體" w:cs="Times New Roman"/>
          <w:lang w:val="fr-FR" w:eastAsia="zh-TW"/>
        </w:rPr>
        <w:t xml:space="preserve">Lei Menglin </w:t>
      </w:r>
      <w:r w:rsidR="00A87ECD">
        <w:rPr>
          <w:rFonts w:ascii="新細明體" w:eastAsia="新細明體" w:hAnsi="新細明體" w:cs="新細明體" w:hint="eastAsia"/>
          <w:lang w:val="fr-FR" w:eastAsia="zh-TW"/>
        </w:rPr>
        <w:t>雷夢麟</w:t>
      </w:r>
      <w:r w:rsidR="00A87ECD">
        <w:rPr>
          <w:rFonts w:eastAsia="新細明體" w:cs="Times New Roman"/>
          <w:lang w:val="fr-FR" w:eastAsia="zh-TW"/>
        </w:rPr>
        <w:t xml:space="preserve"> (</w:t>
      </w:r>
      <w:r w:rsidR="009A5546">
        <w:rPr>
          <w:rFonts w:eastAsia="新細明體" w:cs="Times New Roman"/>
          <w:lang w:val="fr-FR" w:eastAsia="zh-TW"/>
        </w:rPr>
        <w:t>mid Ming</w:t>
      </w:r>
      <w:r w:rsidR="00A87ECD">
        <w:rPr>
          <w:rFonts w:eastAsia="新細明體" w:cs="Times New Roman"/>
          <w:lang w:val="fr-FR" w:eastAsia="zh-TW"/>
        </w:rPr>
        <w:t>)</w:t>
      </w:r>
      <w:r w:rsidR="00652D6E">
        <w:rPr>
          <w:rFonts w:eastAsia="新細明體" w:cs="Times New Roman"/>
          <w:lang w:val="fr-FR" w:eastAsia="zh-TW"/>
        </w:rPr>
        <w:t>.</w:t>
      </w:r>
    </w:p>
    <w:p w14:paraId="6B2004BC" w14:textId="14E68E22" w:rsidR="00EC2639" w:rsidRDefault="00AD3625" w:rsidP="001C6EAC">
      <w:pPr>
        <w:ind w:firstLine="284"/>
        <w:jc w:val="both"/>
        <w:rPr>
          <w:rFonts w:eastAsia="新細明體" w:cs="Times New Roman"/>
          <w:lang w:val="fr-FR" w:eastAsia="zh-TW"/>
        </w:rPr>
      </w:pPr>
      <w:r>
        <w:rPr>
          <w:rFonts w:eastAsia="新細明體" w:cs="Times New Roman"/>
          <w:lang w:val="fr-FR" w:eastAsia="zh-TW"/>
        </w:rPr>
        <w:t xml:space="preserve">In his famous </w:t>
      </w:r>
      <w:r w:rsidRPr="00AD3625">
        <w:rPr>
          <w:rFonts w:eastAsia="新細明體" w:cs="Times New Roman"/>
          <w:i/>
          <w:lang w:val="fr-FR" w:eastAsia="zh-TW"/>
        </w:rPr>
        <w:t>Dulü suoyan</w:t>
      </w:r>
      <w:r>
        <w:rPr>
          <w:rFonts w:eastAsia="新細明體" w:cs="Times New Roman"/>
          <w:lang w:val="fr-FR" w:eastAsia="zh-TW"/>
        </w:rPr>
        <w:t xml:space="preserve"> </w:t>
      </w:r>
      <w:r>
        <w:rPr>
          <w:rFonts w:ascii="新細明體" w:eastAsia="新細明體" w:hAnsi="新細明體" w:cs="新細明體" w:hint="eastAsia"/>
          <w:lang w:val="fr-FR" w:eastAsia="zh-TW"/>
        </w:rPr>
        <w:t>讀律瑣言</w:t>
      </w:r>
      <w:r>
        <w:rPr>
          <w:rFonts w:eastAsia="新細明體" w:cs="Times New Roman"/>
          <w:lang w:val="fr-FR" w:eastAsia="zh-TW"/>
        </w:rPr>
        <w:t xml:space="preserve"> for example, the latter </w:t>
      </w:r>
      <w:r w:rsidR="009A51C5">
        <w:rPr>
          <w:rFonts w:eastAsia="新細明體" w:cs="Times New Roman"/>
          <w:lang w:val="fr-FR" w:eastAsia="zh-TW"/>
        </w:rPr>
        <w:t xml:space="preserve">explains </w:t>
      </w:r>
      <w:r>
        <w:rPr>
          <w:rFonts w:eastAsia="新細明體" w:cs="Times New Roman"/>
          <w:lang w:val="fr-FR" w:eastAsia="zh-TW"/>
        </w:rPr>
        <w:t>that while a crime committed may correspond to a penal denomination found in the Code</w:t>
      </w:r>
      <w:r w:rsidR="00B14D1F">
        <w:rPr>
          <w:rFonts w:eastAsia="新細明體" w:cs="Times New Roman"/>
          <w:lang w:val="fr-FR" w:eastAsia="zh-TW"/>
        </w:rPr>
        <w:t xml:space="preserve"> – in other words</w:t>
      </w:r>
      <w:r>
        <w:rPr>
          <w:rFonts w:eastAsia="新細明體" w:cs="Times New Roman"/>
          <w:lang w:val="fr-FR" w:eastAsia="zh-TW"/>
        </w:rPr>
        <w:t xml:space="preserve">, </w:t>
      </w:r>
      <w:r w:rsidR="00B14D1F">
        <w:rPr>
          <w:rFonts w:eastAsia="新細明體" w:cs="Times New Roman"/>
          <w:lang w:val="fr-FR" w:eastAsia="zh-TW"/>
        </w:rPr>
        <w:t>fit with the law (</w:t>
      </w:r>
      <w:r w:rsidR="00B14D1F" w:rsidRPr="00B14D1F">
        <w:rPr>
          <w:rFonts w:eastAsia="新細明體" w:cs="Times New Roman"/>
          <w:i/>
          <w:lang w:val="fr-FR" w:eastAsia="zh-TW"/>
        </w:rPr>
        <w:t>helü</w:t>
      </w:r>
      <w:r w:rsidR="00B14D1F">
        <w:rPr>
          <w:rFonts w:eastAsia="新細明體" w:cs="Times New Roman"/>
          <w:lang w:val="fr-FR" w:eastAsia="zh-TW"/>
        </w:rPr>
        <w:t xml:space="preserve"> </w:t>
      </w:r>
      <w:r w:rsidR="00B14D1F">
        <w:rPr>
          <w:rFonts w:ascii="新細明體" w:eastAsia="新細明體" w:hAnsi="新細明體" w:cs="新細明體" w:hint="eastAsia"/>
          <w:lang w:val="fr-FR" w:eastAsia="zh-TW"/>
        </w:rPr>
        <w:t>合律</w:t>
      </w:r>
      <w:r w:rsidR="00A83080">
        <w:rPr>
          <w:rFonts w:eastAsia="新細明體" w:cs="Times New Roman"/>
          <w:lang w:val="fr-FR" w:eastAsia="zh-TW"/>
        </w:rPr>
        <w:t xml:space="preserve">) –, when </w:t>
      </w:r>
      <w:r w:rsidR="009A51C5">
        <w:rPr>
          <w:rFonts w:eastAsia="新細明體" w:cs="Times New Roman"/>
          <w:lang w:val="fr-FR" w:eastAsia="zh-TW"/>
        </w:rPr>
        <w:t>inquirying</w:t>
      </w:r>
      <w:r w:rsidR="00A83080">
        <w:rPr>
          <w:rFonts w:eastAsia="新細明體" w:cs="Times New Roman"/>
          <w:lang w:val="fr-FR" w:eastAsia="zh-TW"/>
        </w:rPr>
        <w:t xml:space="preserve"> </w:t>
      </w:r>
      <w:r w:rsidR="009A51C5">
        <w:rPr>
          <w:rFonts w:eastAsia="新細明體" w:cs="Times New Roman"/>
          <w:lang w:val="fr-FR" w:eastAsia="zh-TW"/>
        </w:rPr>
        <w:t>on</w:t>
      </w:r>
      <w:r w:rsidR="00A83080">
        <w:rPr>
          <w:rFonts w:eastAsia="新細明體" w:cs="Times New Roman"/>
          <w:lang w:val="fr-FR" w:eastAsia="zh-TW"/>
        </w:rPr>
        <w:t xml:space="preserve"> </w:t>
      </w:r>
      <w:r w:rsidR="00B14D1F">
        <w:rPr>
          <w:rFonts w:eastAsia="新細明體" w:cs="Times New Roman"/>
          <w:lang w:val="fr-FR" w:eastAsia="zh-TW"/>
        </w:rPr>
        <w:t xml:space="preserve">the </w:t>
      </w:r>
      <w:r w:rsidR="00A83080">
        <w:rPr>
          <w:rFonts w:eastAsia="新細明體" w:cs="Times New Roman"/>
          <w:lang w:val="fr-FR" w:eastAsia="zh-TW"/>
        </w:rPr>
        <w:t>reasons which led to it</w:t>
      </w:r>
      <w:r w:rsidR="00B14D1F">
        <w:rPr>
          <w:rFonts w:eastAsia="新細明體" w:cs="Times New Roman"/>
          <w:lang w:val="fr-FR" w:eastAsia="zh-TW"/>
        </w:rPr>
        <w:t xml:space="preserve">, one may well find out that </w:t>
      </w:r>
      <w:r w:rsidR="009A51C5">
        <w:rPr>
          <w:rFonts w:eastAsia="新細明體" w:cs="Times New Roman"/>
          <w:lang w:val="fr-FR" w:eastAsia="zh-TW"/>
        </w:rPr>
        <w:t>the culprit, by committing it,</w:t>
      </w:r>
      <w:r w:rsidR="00B14D1F">
        <w:rPr>
          <w:rFonts w:eastAsia="新細明體" w:cs="Times New Roman"/>
          <w:lang w:val="fr-FR" w:eastAsia="zh-TW"/>
        </w:rPr>
        <w:t xml:space="preserve"> </w:t>
      </w:r>
      <w:r w:rsidR="009A51C5">
        <w:rPr>
          <w:rFonts w:eastAsia="新細明體" w:cs="Times New Roman"/>
          <w:lang w:val="fr-FR" w:eastAsia="zh-TW"/>
        </w:rPr>
        <w:t xml:space="preserve">actually sought </w:t>
      </w:r>
      <w:r w:rsidR="00A83080">
        <w:rPr>
          <w:rFonts w:eastAsia="新細明體" w:cs="Times New Roman"/>
          <w:lang w:val="fr-FR" w:eastAsia="zh-TW"/>
        </w:rPr>
        <w:t>to avoid being indicted for a more serious</w:t>
      </w:r>
      <w:r w:rsidR="009A51C5">
        <w:rPr>
          <w:rFonts w:eastAsia="新細明體" w:cs="Times New Roman"/>
          <w:lang w:val="fr-FR" w:eastAsia="zh-TW"/>
        </w:rPr>
        <w:t xml:space="preserve"> crime he or she was involved in (</w:t>
      </w:r>
      <w:r w:rsidR="009A51C5" w:rsidRPr="00A03752">
        <w:rPr>
          <w:rFonts w:ascii="新細明體" w:eastAsia="新細明體" w:hAnsi="新細明體" w:cs="新細明體"/>
          <w:i/>
          <w:lang w:val="fr-FR" w:eastAsia="zh-TW"/>
        </w:rPr>
        <w:t>yuan qi suo fan zhi xin</w:t>
      </w:r>
      <w:r w:rsidR="009A51C5">
        <w:rPr>
          <w:rFonts w:ascii="新細明體" w:eastAsia="新細明體" w:hAnsi="新細明體" w:cs="新細明體"/>
          <w:lang w:val="fr-FR" w:eastAsia="zh-TW"/>
        </w:rPr>
        <w:t xml:space="preserve">, </w:t>
      </w:r>
      <w:r w:rsidR="009A51C5" w:rsidRPr="00A03752">
        <w:rPr>
          <w:rFonts w:ascii="新細明體" w:eastAsia="新細明體" w:hAnsi="新細明體" w:cs="新細明體"/>
          <w:i/>
          <w:lang w:val="fr-FR" w:eastAsia="zh-TW"/>
        </w:rPr>
        <w:t>huo you suo guibi zuizhong zhe</w:t>
      </w:r>
      <w:r w:rsidR="009A51C5">
        <w:rPr>
          <w:rFonts w:ascii="新細明體" w:eastAsia="新細明體" w:hAnsi="新細明體" w:cs="新細明體"/>
          <w:lang w:val="fr-FR" w:eastAsia="zh-TW"/>
        </w:rPr>
        <w:t xml:space="preserve"> </w:t>
      </w:r>
      <w:r w:rsidR="009A51C5">
        <w:rPr>
          <w:rFonts w:ascii="新細明體" w:eastAsia="新細明體" w:hAnsi="新細明體" w:cs="新細明體" w:hint="eastAsia"/>
          <w:lang w:val="fr-FR" w:eastAsia="zh-TW"/>
        </w:rPr>
        <w:t>原其所犯之心</w:t>
      </w:r>
      <w:r w:rsidR="009A51C5">
        <w:rPr>
          <w:rFonts w:eastAsia="新細明體" w:cs="Times New Roman"/>
          <w:lang w:val="fr-FR" w:eastAsia="zh-TW"/>
        </w:rPr>
        <w:t xml:space="preserve">, </w:t>
      </w:r>
      <w:r w:rsidR="009A51C5">
        <w:rPr>
          <w:rFonts w:ascii="新細明體" w:eastAsia="新細明體" w:hAnsi="新細明體" w:cs="新細明體" w:hint="eastAsia"/>
          <w:lang w:val="fr-FR" w:eastAsia="zh-TW"/>
        </w:rPr>
        <w:t>或有其規避罪重者</w:t>
      </w:r>
      <w:r w:rsidR="009A51C5">
        <w:rPr>
          <w:rFonts w:eastAsia="新細明體" w:cs="Times New Roman"/>
          <w:lang w:val="fr-FR" w:eastAsia="zh-TW"/>
        </w:rPr>
        <w:t>)</w:t>
      </w:r>
      <w:r w:rsidR="000B5B25">
        <w:rPr>
          <w:rStyle w:val="Marquenotebasdepage"/>
          <w:rFonts w:eastAsia="新細明體" w:cs="Times New Roman"/>
          <w:lang w:val="fr-FR" w:eastAsia="zh-TW"/>
        </w:rPr>
        <w:footnoteReference w:id="21"/>
      </w:r>
      <w:r w:rsidR="009A51C5">
        <w:rPr>
          <w:rFonts w:eastAsia="新細明體" w:cs="Times New Roman"/>
          <w:lang w:val="fr-FR" w:eastAsia="zh-TW"/>
        </w:rPr>
        <w:t xml:space="preserve">. </w:t>
      </w:r>
      <w:r w:rsidR="00A03752">
        <w:rPr>
          <w:rFonts w:eastAsia="新細明體" w:cs="Times New Roman"/>
          <w:lang w:val="fr-FR" w:eastAsia="zh-TW"/>
        </w:rPr>
        <w:t>In a similar vein, Wang Kentang signals that, when investigated, the circumstances (</w:t>
      </w:r>
      <w:r w:rsidR="00A03752" w:rsidRPr="00A03752">
        <w:rPr>
          <w:rFonts w:eastAsia="新細明體" w:cs="Times New Roman"/>
          <w:i/>
          <w:lang w:val="fr-FR" w:eastAsia="zh-TW"/>
        </w:rPr>
        <w:t>qing</w:t>
      </w:r>
      <w:r w:rsidR="00A03752">
        <w:rPr>
          <w:rFonts w:eastAsia="新細明體" w:cs="Times New Roman"/>
          <w:lang w:val="fr-FR" w:eastAsia="zh-TW"/>
        </w:rPr>
        <w:t xml:space="preserve"> </w:t>
      </w:r>
      <w:r w:rsidR="00A03752">
        <w:rPr>
          <w:rFonts w:ascii="新細明體" w:eastAsia="新細明體" w:hAnsi="新細明體" w:cs="新細明體" w:hint="eastAsia"/>
          <w:lang w:val="fr-FR" w:eastAsia="zh-TW"/>
        </w:rPr>
        <w:t>情</w:t>
      </w:r>
      <w:r w:rsidR="00A03752">
        <w:rPr>
          <w:rFonts w:eastAsia="新細明體" w:cs="Times New Roman"/>
          <w:lang w:val="fr-FR" w:eastAsia="zh-TW"/>
        </w:rPr>
        <w:t>) of an illegal action may well reveal that the main motivation for the perpetrator was to conceal a more serious wrongdoing of his (</w:t>
      </w:r>
      <w:r w:rsidR="00A03752" w:rsidRPr="00763821">
        <w:rPr>
          <w:rFonts w:eastAsia="新細明體" w:cs="Times New Roman"/>
          <w:i/>
          <w:lang w:val="fr-FR" w:eastAsia="zh-TW"/>
        </w:rPr>
        <w:t>er qi qing you suo guiqiu bimian zhong yu ben zui zhe</w:t>
      </w:r>
      <w:r w:rsidR="00763821">
        <w:rPr>
          <w:rFonts w:eastAsia="新細明體" w:cs="Times New Roman"/>
          <w:lang w:val="fr-FR" w:eastAsia="zh-TW"/>
        </w:rPr>
        <w:t xml:space="preserve"> </w:t>
      </w:r>
      <w:r w:rsidR="00763821">
        <w:rPr>
          <w:rFonts w:ascii="新細明體" w:eastAsia="新細明體" w:hAnsi="新細明體" w:cs="新細明體" w:hint="eastAsia"/>
          <w:lang w:val="fr-FR" w:eastAsia="zh-TW"/>
        </w:rPr>
        <w:t>而其情有所規求避免重於本罪者</w:t>
      </w:r>
      <w:r w:rsidR="00A03752">
        <w:rPr>
          <w:rFonts w:eastAsia="新細明體" w:cs="Times New Roman"/>
          <w:lang w:val="fr-FR" w:eastAsia="zh-TW"/>
        </w:rPr>
        <w:t>).</w:t>
      </w:r>
      <w:r w:rsidR="00652D6E">
        <w:rPr>
          <w:rFonts w:eastAsia="新細明體" w:cs="Times New Roman"/>
          <w:lang w:val="fr-FR" w:eastAsia="zh-TW"/>
        </w:rPr>
        <w:t xml:space="preserve"> One of the examples he provides is that of an official indicted for not having reported what ought to have been reported (</w:t>
      </w:r>
      <w:r w:rsidR="00652D6E" w:rsidRPr="00652D6E">
        <w:rPr>
          <w:rFonts w:eastAsia="新細明體" w:cs="Times New Roman"/>
          <w:i/>
          <w:lang w:val="fr-FR" w:eastAsia="zh-TW"/>
        </w:rPr>
        <w:t>ying zouqing er bu zouqingzhe</w:t>
      </w:r>
      <w:r w:rsidR="00652D6E">
        <w:rPr>
          <w:rFonts w:eastAsia="新細明體" w:cs="Times New Roman"/>
          <w:lang w:val="fr-FR" w:eastAsia="zh-TW"/>
        </w:rPr>
        <w:t xml:space="preserve"> </w:t>
      </w:r>
      <w:r w:rsidR="00652D6E">
        <w:rPr>
          <w:rFonts w:ascii="新細明體" w:eastAsia="新細明體" w:hAnsi="新細明體" w:cs="新細明體" w:hint="eastAsia"/>
          <w:lang w:val="fr-FR" w:eastAsia="zh-TW"/>
        </w:rPr>
        <w:t>應奏請而不奏請者</w:t>
      </w:r>
      <w:r w:rsidR="00652D6E">
        <w:rPr>
          <w:rFonts w:eastAsia="新細明體" w:cs="Times New Roman"/>
          <w:lang w:val="fr-FR" w:eastAsia="zh-TW"/>
        </w:rPr>
        <w:t>)</w:t>
      </w:r>
      <w:r w:rsidR="00652D6E">
        <w:rPr>
          <w:rStyle w:val="Marquenotebasdepage"/>
          <w:rFonts w:eastAsia="新細明體" w:cs="Times New Roman"/>
          <w:lang w:val="fr-FR" w:eastAsia="zh-TW"/>
        </w:rPr>
        <w:footnoteReference w:id="22"/>
      </w:r>
      <w:r w:rsidR="00652D6E">
        <w:rPr>
          <w:rFonts w:eastAsia="新細明體" w:cs="Times New Roman"/>
          <w:lang w:val="fr-FR" w:eastAsia="zh-TW"/>
        </w:rPr>
        <w:t xml:space="preserve">. </w:t>
      </w:r>
      <w:r w:rsidR="00665580">
        <w:rPr>
          <w:rFonts w:eastAsia="新細明體" w:cs="Times New Roman"/>
          <w:lang w:val="fr-FR" w:eastAsia="zh-TW"/>
        </w:rPr>
        <w:t>In ordinary</w:t>
      </w:r>
      <w:r w:rsidR="00DB11F1">
        <w:rPr>
          <w:rFonts w:eastAsia="新細明體" w:cs="Times New Roman"/>
          <w:lang w:val="fr-FR" w:eastAsia="zh-TW"/>
        </w:rPr>
        <w:t xml:space="preserve"> circumstances, the law provided</w:t>
      </w:r>
      <w:r w:rsidR="00665580">
        <w:rPr>
          <w:rFonts w:eastAsia="新細明體" w:cs="Times New Roman"/>
          <w:lang w:val="fr-FR" w:eastAsia="zh-TW"/>
        </w:rPr>
        <w:t xml:space="preserve"> for 100 strokes of the heavy stick for such an administrative wrongdoing. But as Wang points o</w:t>
      </w:r>
      <w:r w:rsidR="00DB11F1">
        <w:rPr>
          <w:rFonts w:eastAsia="新細明體" w:cs="Times New Roman"/>
          <w:lang w:val="fr-FR" w:eastAsia="zh-TW"/>
        </w:rPr>
        <w:t>ut, if the investigation revealed</w:t>
      </w:r>
      <w:r w:rsidR="00665580">
        <w:rPr>
          <w:rFonts w:eastAsia="新細明體" w:cs="Times New Roman"/>
          <w:lang w:val="fr-FR" w:eastAsia="zh-TW"/>
        </w:rPr>
        <w:t xml:space="preserve"> that the official received a bribe in order not to report the matter, </w:t>
      </w:r>
      <w:r w:rsidR="007F4018">
        <w:rPr>
          <w:rFonts w:eastAsia="新細明體" w:cs="Times New Roman"/>
          <w:lang w:val="fr-FR" w:eastAsia="zh-TW"/>
        </w:rPr>
        <w:t xml:space="preserve">or by doing so </w:t>
      </w:r>
      <w:r w:rsidR="00CB7296">
        <w:rPr>
          <w:rFonts w:eastAsia="新細明體" w:cs="Times New Roman"/>
          <w:lang w:val="fr-FR" w:eastAsia="zh-TW"/>
        </w:rPr>
        <w:t>sought to avoid another indic</w:t>
      </w:r>
      <w:r w:rsidR="007F4018">
        <w:rPr>
          <w:rFonts w:eastAsia="新細明體" w:cs="Times New Roman"/>
          <w:lang w:val="fr-FR" w:eastAsia="zh-TW"/>
        </w:rPr>
        <w:t xml:space="preserve">tment, </w:t>
      </w:r>
      <w:r w:rsidR="00665580">
        <w:rPr>
          <w:rFonts w:eastAsia="新細明體" w:cs="Times New Roman"/>
          <w:lang w:val="fr-FR" w:eastAsia="zh-TW"/>
        </w:rPr>
        <w:t xml:space="preserve">then the amount of the bribe </w:t>
      </w:r>
      <w:r w:rsidR="007F4018">
        <w:rPr>
          <w:rFonts w:eastAsia="新細明體" w:cs="Times New Roman"/>
          <w:lang w:val="fr-FR" w:eastAsia="zh-TW"/>
        </w:rPr>
        <w:t xml:space="preserve">or </w:t>
      </w:r>
      <w:r w:rsidR="00665580">
        <w:rPr>
          <w:rFonts w:eastAsia="新細明體" w:cs="Times New Roman"/>
          <w:lang w:val="fr-FR" w:eastAsia="zh-TW"/>
        </w:rPr>
        <w:t>the nature of the crime thus avoided</w:t>
      </w:r>
      <w:r w:rsidR="007F4018" w:rsidRPr="007F4018">
        <w:rPr>
          <w:rFonts w:eastAsia="新細明體" w:cs="Times New Roman"/>
          <w:lang w:val="fr-FR" w:eastAsia="zh-TW"/>
        </w:rPr>
        <w:t xml:space="preserve"> </w:t>
      </w:r>
      <w:r w:rsidR="007F4018">
        <w:rPr>
          <w:rFonts w:eastAsia="新細明體" w:cs="Times New Roman"/>
          <w:lang w:val="fr-FR" w:eastAsia="zh-TW"/>
        </w:rPr>
        <w:t>should be assessed</w:t>
      </w:r>
      <w:r w:rsidR="00665580">
        <w:rPr>
          <w:rFonts w:eastAsia="新細明體" w:cs="Times New Roman"/>
          <w:lang w:val="fr-FR" w:eastAsia="zh-TW"/>
        </w:rPr>
        <w:t>, and</w:t>
      </w:r>
      <w:r w:rsidR="00CB7296">
        <w:rPr>
          <w:rFonts w:eastAsia="新細明體" w:cs="Times New Roman"/>
          <w:lang w:val="fr-FR" w:eastAsia="zh-TW"/>
        </w:rPr>
        <w:t>,</w:t>
      </w:r>
      <w:r w:rsidR="00665580">
        <w:rPr>
          <w:rFonts w:eastAsia="新細明體" w:cs="Times New Roman"/>
          <w:lang w:val="fr-FR" w:eastAsia="zh-TW"/>
        </w:rPr>
        <w:t xml:space="preserve"> if </w:t>
      </w:r>
      <w:r w:rsidR="007F4018">
        <w:rPr>
          <w:rFonts w:eastAsia="新細明體" w:cs="Times New Roman"/>
          <w:lang w:val="fr-FR" w:eastAsia="zh-TW"/>
        </w:rPr>
        <w:t xml:space="preserve">in either case </w:t>
      </w:r>
      <w:r w:rsidR="00DB11F1">
        <w:rPr>
          <w:rFonts w:eastAsia="新細明體" w:cs="Times New Roman"/>
          <w:lang w:val="fr-FR" w:eastAsia="zh-TW"/>
        </w:rPr>
        <w:t>the punishment exceeded</w:t>
      </w:r>
      <w:r w:rsidR="00665580">
        <w:rPr>
          <w:rFonts w:eastAsia="新細明體" w:cs="Times New Roman"/>
          <w:lang w:val="fr-FR" w:eastAsia="zh-TW"/>
        </w:rPr>
        <w:t xml:space="preserve"> 100 blows of the heavy stick, the official ought to be punished according to the provisions </w:t>
      </w:r>
      <w:r w:rsidR="00CB7296">
        <w:rPr>
          <w:rFonts w:eastAsia="新細明體" w:cs="Times New Roman"/>
          <w:lang w:val="fr-FR" w:eastAsia="zh-TW"/>
        </w:rPr>
        <w:t xml:space="preserve">dealing with the </w:t>
      </w:r>
      <w:r w:rsidR="00665580">
        <w:rPr>
          <w:rFonts w:eastAsia="新細明體" w:cs="Times New Roman"/>
          <w:lang w:val="fr-FR" w:eastAsia="zh-TW"/>
        </w:rPr>
        <w:t>more severe</w:t>
      </w:r>
      <w:r w:rsidR="000B5B25">
        <w:rPr>
          <w:rFonts w:eastAsia="新細明體" w:cs="Times New Roman"/>
          <w:lang w:val="fr-FR" w:eastAsia="zh-TW"/>
        </w:rPr>
        <w:t xml:space="preserve"> unlawful conduct</w:t>
      </w:r>
      <w:r w:rsidR="000B5B25">
        <w:rPr>
          <w:rStyle w:val="Marquenotebasdepage"/>
          <w:rFonts w:eastAsia="新細明體" w:cs="Times New Roman"/>
          <w:lang w:val="fr-FR" w:eastAsia="zh-TW"/>
        </w:rPr>
        <w:footnoteReference w:id="23"/>
      </w:r>
      <w:r w:rsidR="00665580">
        <w:rPr>
          <w:rFonts w:eastAsia="新細明體" w:cs="Times New Roman"/>
          <w:lang w:val="fr-FR" w:eastAsia="zh-TW"/>
        </w:rPr>
        <w:t>.</w:t>
      </w:r>
    </w:p>
    <w:p w14:paraId="43462EFA" w14:textId="6EA6F679" w:rsidR="007F4018" w:rsidRDefault="007F4018" w:rsidP="001C6EAC">
      <w:pPr>
        <w:ind w:firstLine="284"/>
        <w:jc w:val="both"/>
        <w:rPr>
          <w:lang w:val="fr-FR"/>
        </w:rPr>
      </w:pPr>
      <w:r>
        <w:rPr>
          <w:rFonts w:eastAsia="新細明體" w:cs="Times New Roman"/>
          <w:lang w:val="fr-FR" w:eastAsia="zh-TW"/>
        </w:rPr>
        <w:t>In both instances</w:t>
      </w:r>
      <w:r w:rsidR="000B5B25">
        <w:rPr>
          <w:rFonts w:eastAsia="新細明體" w:cs="Times New Roman"/>
          <w:lang w:val="fr-FR" w:eastAsia="zh-TW"/>
        </w:rPr>
        <w:t xml:space="preserve">, my feeling is that the accent is not </w:t>
      </w:r>
      <w:r w:rsidR="007B6188">
        <w:rPr>
          <w:rFonts w:eastAsia="新細明體" w:cs="Times New Roman"/>
          <w:lang w:val="fr-FR" w:eastAsia="zh-TW"/>
        </w:rPr>
        <w:t xml:space="preserve">set </w:t>
      </w:r>
      <w:r w:rsidR="000B5B25">
        <w:rPr>
          <w:rFonts w:eastAsia="新細明體" w:cs="Times New Roman"/>
          <w:lang w:val="fr-FR" w:eastAsia="zh-TW"/>
        </w:rPr>
        <w:t xml:space="preserve">as much on the fact – albeit correct – that an individual may </w:t>
      </w:r>
      <w:r w:rsidR="000B5B25" w:rsidRPr="00080E44">
        <w:rPr>
          <w:rFonts w:eastAsia="新細明體" w:cs="Times New Roman"/>
          <w:i/>
          <w:lang w:val="fr-FR" w:eastAsia="zh-TW"/>
        </w:rPr>
        <w:t>use</w:t>
      </w:r>
      <w:r w:rsidR="000B5B25">
        <w:rPr>
          <w:rFonts w:eastAsia="新細明體" w:cs="Times New Roman"/>
          <w:lang w:val="fr-FR" w:eastAsia="zh-TW"/>
        </w:rPr>
        <w:t xml:space="preserve"> the law in order to evade a more severe punishment, which is the option adopted by Jiang, rather than on the idea that once thoroughly investigated, the circumstances of the original and </w:t>
      </w:r>
      <w:r w:rsidR="007B6188">
        <w:rPr>
          <w:rFonts w:eastAsia="新細明體" w:cs="Times New Roman"/>
          <w:lang w:val="fr-FR" w:eastAsia="zh-TW"/>
        </w:rPr>
        <w:t>more serious misbehavio</w:t>
      </w:r>
      <w:r w:rsidR="000B5B25">
        <w:rPr>
          <w:rFonts w:eastAsia="新細明體" w:cs="Times New Roman"/>
          <w:lang w:val="fr-FR" w:eastAsia="zh-TW"/>
        </w:rPr>
        <w:t>ur may well come to light</w:t>
      </w:r>
      <w:r w:rsidR="00EC2639">
        <w:rPr>
          <w:rFonts w:eastAsia="新細明體" w:cs="Times New Roman"/>
          <w:lang w:val="fr-FR" w:eastAsia="zh-TW"/>
        </w:rPr>
        <w:t xml:space="preserve">, revealing thus the inner </w:t>
      </w:r>
      <w:r w:rsidR="007B6188">
        <w:rPr>
          <w:rFonts w:eastAsia="新細明體" w:cs="Times New Roman"/>
          <w:lang w:val="fr-FR" w:eastAsia="zh-TW"/>
        </w:rPr>
        <w:t>motives or intent of the perpetrator.</w:t>
      </w:r>
      <w:r w:rsidR="00080E44">
        <w:rPr>
          <w:rFonts w:eastAsia="新細明體" w:cs="Times New Roman"/>
          <w:lang w:val="fr-FR" w:eastAsia="zh-TW"/>
        </w:rPr>
        <w:t xml:space="preserve"> </w:t>
      </w:r>
      <w:r w:rsidR="00EC2639">
        <w:rPr>
          <w:rFonts w:eastAsia="新細明體" w:cs="Times New Roman"/>
          <w:lang w:val="fr-FR" w:eastAsia="zh-TW"/>
        </w:rPr>
        <w:t xml:space="preserve">In this respect, the prasing of the Qing version of the statute offers an interesting addition. </w:t>
      </w:r>
      <w:r w:rsidR="008A7E59">
        <w:rPr>
          <w:rFonts w:eastAsia="新細明體" w:cs="Times New Roman"/>
          <w:lang w:val="fr-FR" w:eastAsia="zh-TW"/>
        </w:rPr>
        <w:t xml:space="preserve">The character </w:t>
      </w:r>
      <w:r w:rsidR="008A7E59" w:rsidRPr="008A7E59">
        <w:rPr>
          <w:rFonts w:eastAsia="新細明體" w:cs="Times New Roman"/>
          <w:i/>
          <w:lang w:val="fr-FR" w:eastAsia="zh-TW"/>
        </w:rPr>
        <w:t>xin</w:t>
      </w:r>
      <w:r w:rsidR="008A7E59">
        <w:rPr>
          <w:rFonts w:eastAsia="新細明體" w:cs="Times New Roman"/>
          <w:lang w:val="fr-FR" w:eastAsia="zh-TW"/>
        </w:rPr>
        <w:t xml:space="preserve"> </w:t>
      </w:r>
      <w:r w:rsidR="008A7E59">
        <w:rPr>
          <w:rFonts w:ascii="新細明體" w:eastAsia="新細明體" w:hAnsi="新細明體" w:cs="新細明體" w:hint="eastAsia"/>
          <w:lang w:val="fr-FR" w:eastAsia="zh-TW"/>
        </w:rPr>
        <w:t>心</w:t>
      </w:r>
      <w:r w:rsidR="008A7E59">
        <w:rPr>
          <w:rFonts w:eastAsia="新細明體" w:cs="Times New Roman"/>
          <w:lang w:val="fr-FR" w:eastAsia="zh-TW"/>
        </w:rPr>
        <w:t xml:space="preserve"> is added as an interlinear note in the second part of the paragraph – </w:t>
      </w:r>
      <w:r w:rsidR="00E62880" w:rsidRPr="00E62880">
        <w:rPr>
          <w:rFonts w:eastAsia="新細明體" w:cs="Times New Roman"/>
          <w:i/>
          <w:lang w:val="fr-FR" w:eastAsia="zh-TW"/>
        </w:rPr>
        <w:t>qi xin you suo guibi zuizhongzhe</w:t>
      </w:r>
      <w:r w:rsidR="00E62880">
        <w:rPr>
          <w:rFonts w:eastAsia="新細明體" w:cs="Times New Roman"/>
          <w:lang w:val="fr-FR" w:eastAsia="zh-TW"/>
        </w:rPr>
        <w:t xml:space="preserve"> </w:t>
      </w:r>
      <w:r w:rsidR="008A7E59">
        <w:rPr>
          <w:rFonts w:ascii="新細明體" w:eastAsia="新細明體" w:hAnsi="新細明體" w:cs="新細明體" w:hint="eastAsia"/>
          <w:lang w:val="fr-FR" w:eastAsia="zh-TW"/>
        </w:rPr>
        <w:t>其</w:t>
      </w:r>
      <w:r w:rsidR="008A7E59" w:rsidRPr="008A7E59">
        <w:rPr>
          <w:rFonts w:ascii="新細明體" w:eastAsia="新細明體" w:hAnsi="新細明體" w:cs="新細明體" w:hint="eastAsia"/>
          <w:vertAlign w:val="subscript"/>
          <w:lang w:val="fr-FR" w:eastAsia="zh-TW"/>
        </w:rPr>
        <w:t>心</w:t>
      </w:r>
      <w:r w:rsidR="008A7E59">
        <w:rPr>
          <w:rFonts w:ascii="新細明體" w:eastAsia="新細明體" w:hAnsi="新細明體" w:cs="新細明體" w:hint="eastAsia"/>
          <w:lang w:val="fr-FR" w:eastAsia="zh-TW"/>
        </w:rPr>
        <w:t>有所規避罪重者</w:t>
      </w:r>
      <w:r w:rsidR="008A7E59">
        <w:rPr>
          <w:rFonts w:eastAsia="新細明體" w:cs="Times New Roman"/>
          <w:lang w:val="fr-FR" w:eastAsia="zh-TW"/>
        </w:rPr>
        <w:t xml:space="preserve"> </w:t>
      </w:r>
      <w:r w:rsidR="008A7E59">
        <w:rPr>
          <w:rFonts w:eastAsia="新細明體" w:cs="Times New Roman"/>
          <w:lang w:val="fr-FR" w:eastAsia="zh-TW"/>
        </w:rPr>
        <w:softHyphen/>
        <w:t xml:space="preserve">–, thus giving some credit to the option stressing “inner motives” or “intention”, a point well relayed by Philastre in his French rendering : </w:t>
      </w:r>
      <w:r w:rsidR="008A7E59">
        <w:rPr>
          <w:lang w:val="fr-FR"/>
        </w:rPr>
        <w:t xml:space="preserve">“Si, bien qu’une faute soit punie par un article spécial, le coupable en la commettant a eu </w:t>
      </w:r>
      <w:r w:rsidR="009D1BF2">
        <w:rPr>
          <w:lang w:val="fr-FR"/>
        </w:rPr>
        <w:t>(</w:t>
      </w:r>
      <w:r w:rsidR="009D1BF2" w:rsidRPr="009D1BF2">
        <w:rPr>
          <w:i/>
          <w:lang w:val="fr-FR"/>
        </w:rPr>
        <w:t>en lui-même</w:t>
      </w:r>
      <w:r w:rsidR="009D1BF2">
        <w:rPr>
          <w:lang w:val="fr-FR"/>
        </w:rPr>
        <w:t>)</w:t>
      </w:r>
      <w:r w:rsidR="008A7E59">
        <w:rPr>
          <w:lang w:val="fr-FR"/>
        </w:rPr>
        <w:t xml:space="preserve"> l’intention de se soustraire aux conséquences d’une faute plus grave, on suivra naturellement la loi </w:t>
      </w:r>
      <w:r w:rsidR="009D1BF2">
        <w:rPr>
          <w:lang w:val="fr-FR"/>
        </w:rPr>
        <w:t>(</w:t>
      </w:r>
      <w:r w:rsidR="009D1BF2" w:rsidRPr="009D1BF2">
        <w:rPr>
          <w:i/>
          <w:lang w:val="fr-FR"/>
        </w:rPr>
        <w:t>qui prononce la peine</w:t>
      </w:r>
      <w:r w:rsidR="009D1BF2">
        <w:rPr>
          <w:lang w:val="fr-FR"/>
        </w:rPr>
        <w:t>)</w:t>
      </w:r>
      <w:r w:rsidR="008A7E59">
        <w:rPr>
          <w:lang w:val="fr-FR"/>
        </w:rPr>
        <w:t xml:space="preserve"> la plus sévère </w:t>
      </w:r>
      <w:r w:rsidR="009D1BF2">
        <w:rPr>
          <w:lang w:val="fr-FR"/>
        </w:rPr>
        <w:t>(</w:t>
      </w:r>
      <w:r w:rsidR="009D1BF2" w:rsidRPr="009D1BF2">
        <w:rPr>
          <w:i/>
          <w:lang w:val="fr-FR"/>
        </w:rPr>
        <w:t>et qui est relative à la faute dont le coupable a cherché à éviter la punition</w:t>
      </w:r>
      <w:r w:rsidR="009D1BF2">
        <w:rPr>
          <w:lang w:val="fr-FR"/>
        </w:rPr>
        <w:t>)</w:t>
      </w:r>
      <w:r w:rsidR="008A7E59">
        <w:rPr>
          <w:lang w:val="fr-FR"/>
        </w:rPr>
        <w:t>”</w:t>
      </w:r>
      <w:r w:rsidR="008A7E59">
        <w:rPr>
          <w:rStyle w:val="Marquenotebasdepage"/>
          <w:lang w:val="fr-FR"/>
        </w:rPr>
        <w:footnoteReference w:id="24"/>
      </w:r>
      <w:r w:rsidR="009D1BF2">
        <w:rPr>
          <w:lang w:val="fr-FR"/>
        </w:rPr>
        <w:t>.</w:t>
      </w:r>
    </w:p>
    <w:p w14:paraId="72F679BB" w14:textId="36C57849" w:rsidR="00A81A86" w:rsidRPr="008A7E59" w:rsidRDefault="00A81A86" w:rsidP="001C6EAC">
      <w:pPr>
        <w:ind w:firstLine="284"/>
        <w:jc w:val="both"/>
        <w:rPr>
          <w:rFonts w:eastAsia="新細明體" w:cs="Times New Roman"/>
          <w:lang w:val="fr-FR" w:eastAsia="zh-TW"/>
        </w:rPr>
      </w:pPr>
      <w:r>
        <w:rPr>
          <w:lang w:val="fr-FR"/>
        </w:rPr>
        <w:t>I am of course aware that the preceding observations are</w:t>
      </w:r>
      <w:r w:rsidR="007F5A3C">
        <w:rPr>
          <w:lang w:val="fr-FR"/>
        </w:rPr>
        <w:t>,</w:t>
      </w:r>
      <w:r>
        <w:rPr>
          <w:lang w:val="fr-FR"/>
        </w:rPr>
        <w:t xml:space="preserve"> in a way</w:t>
      </w:r>
      <w:r w:rsidR="007F5A3C">
        <w:rPr>
          <w:lang w:val="fr-FR"/>
        </w:rPr>
        <w:t xml:space="preserve">, </w:t>
      </w:r>
      <w:r>
        <w:rPr>
          <w:lang w:val="fr-FR"/>
        </w:rPr>
        <w:t xml:space="preserve">very limited in scope, </w:t>
      </w:r>
      <w:r w:rsidR="00DB51ED">
        <w:rPr>
          <w:lang w:val="fr-FR"/>
        </w:rPr>
        <w:t xml:space="preserve">that they do not necessarily introduce decisive distinctions in </w:t>
      </w:r>
      <w:r w:rsidR="007F5A3C">
        <w:rPr>
          <w:lang w:val="fr-FR"/>
        </w:rPr>
        <w:t xml:space="preserve">our </w:t>
      </w:r>
      <w:r w:rsidR="00DB51ED">
        <w:rPr>
          <w:lang w:val="fr-FR"/>
        </w:rPr>
        <w:t>understand</w:t>
      </w:r>
      <w:r w:rsidR="007F5A3C">
        <w:rPr>
          <w:lang w:val="fr-FR"/>
        </w:rPr>
        <w:t>ing of</w:t>
      </w:r>
      <w:r w:rsidR="00DB51ED">
        <w:rPr>
          <w:lang w:val="fr-FR"/>
        </w:rPr>
        <w:t xml:space="preserve"> the general contents of the statute, and that they could very well be considered as somewhat specious. S</w:t>
      </w:r>
      <w:r w:rsidR="007F5A3C">
        <w:rPr>
          <w:lang w:val="fr-FR"/>
        </w:rPr>
        <w:t>till, from the point of view of</w:t>
      </w:r>
      <w:r w:rsidR="00DB51ED">
        <w:rPr>
          <w:lang w:val="fr-FR"/>
        </w:rPr>
        <w:t xml:space="preserve"> translation, especially in a domain as specific as that of China’s legal literature, precision and lexical consistency </w:t>
      </w:r>
      <w:r w:rsidR="007F5A3C">
        <w:rPr>
          <w:lang w:val="fr-FR"/>
        </w:rPr>
        <w:t xml:space="preserve">should be </w:t>
      </w:r>
      <w:r w:rsidR="00D32B0F">
        <w:rPr>
          <w:lang w:val="fr-FR"/>
        </w:rPr>
        <w:t>of central concern</w:t>
      </w:r>
      <w:r w:rsidR="007F5A3C">
        <w:rPr>
          <w:rStyle w:val="Marquenotebasdepage"/>
          <w:lang w:val="fr-FR"/>
        </w:rPr>
        <w:footnoteReference w:id="25"/>
      </w:r>
      <w:r w:rsidR="007F5A3C">
        <w:rPr>
          <w:lang w:val="fr-FR"/>
        </w:rPr>
        <w:t>.</w:t>
      </w:r>
    </w:p>
    <w:p w14:paraId="4938E6FC" w14:textId="77777777" w:rsidR="00E62880" w:rsidRDefault="00D32B0F" w:rsidP="001C6EAC">
      <w:pPr>
        <w:jc w:val="both"/>
        <w:rPr>
          <w:rFonts w:eastAsia="新細明體" w:cs="Times New Roman"/>
          <w:lang w:val="fr-FR" w:eastAsia="zh-TW"/>
        </w:rPr>
      </w:pPr>
      <w:r>
        <w:rPr>
          <w:rFonts w:eastAsia="新細明體" w:cs="Times New Roman"/>
          <w:lang w:val="fr-FR" w:eastAsia="zh-TW"/>
        </w:rPr>
        <w:t>This being said, and since the third paragraph does not raise similar translation iss</w:t>
      </w:r>
      <w:r w:rsidR="00B339B0">
        <w:rPr>
          <w:rFonts w:eastAsia="新細明體" w:cs="Times New Roman"/>
          <w:lang w:val="fr-FR" w:eastAsia="zh-TW"/>
        </w:rPr>
        <w:t>ues, let us briefly analyze the nature</w:t>
      </w:r>
      <w:r>
        <w:rPr>
          <w:rFonts w:eastAsia="新細明體" w:cs="Times New Roman"/>
          <w:lang w:val="fr-FR" w:eastAsia="zh-TW"/>
        </w:rPr>
        <w:t xml:space="preserve"> </w:t>
      </w:r>
      <w:r w:rsidR="00742E8C">
        <w:rPr>
          <w:rFonts w:eastAsia="新細明體" w:cs="Times New Roman"/>
          <w:lang w:val="fr-FR" w:eastAsia="zh-TW"/>
        </w:rPr>
        <w:t xml:space="preserve">of this statute </w:t>
      </w:r>
      <w:r w:rsidR="00B96A8A">
        <w:rPr>
          <w:rFonts w:eastAsia="新細明體" w:cs="Times New Roman"/>
          <w:lang w:val="fr-FR" w:eastAsia="zh-TW"/>
        </w:rPr>
        <w:t xml:space="preserve">in relation to </w:t>
      </w:r>
      <w:r w:rsidR="00742E8C">
        <w:rPr>
          <w:rFonts w:eastAsia="新細明體" w:cs="Times New Roman"/>
          <w:lang w:val="fr-FR" w:eastAsia="zh-TW"/>
        </w:rPr>
        <w:t>its</w:t>
      </w:r>
      <w:r w:rsidR="00E62880">
        <w:rPr>
          <w:rFonts w:eastAsia="新細明體" w:cs="Times New Roman"/>
          <w:lang w:val="fr-FR" w:eastAsia="zh-TW"/>
        </w:rPr>
        <w:t xml:space="preserve"> contents.</w:t>
      </w:r>
    </w:p>
    <w:p w14:paraId="1A846630" w14:textId="77777777" w:rsidR="001C6EAC" w:rsidRDefault="001C6EAC" w:rsidP="001C6EAC">
      <w:pPr>
        <w:jc w:val="both"/>
        <w:rPr>
          <w:rFonts w:eastAsia="新細明體" w:cs="Times New Roman"/>
          <w:lang w:val="fr-FR" w:eastAsia="zh-TW"/>
        </w:rPr>
      </w:pPr>
    </w:p>
    <w:p w14:paraId="64510797" w14:textId="1B0A0BE1" w:rsidR="001C6EAC" w:rsidRPr="001C6EAC" w:rsidRDefault="001C6EAC" w:rsidP="001C6EAC">
      <w:pPr>
        <w:jc w:val="both"/>
        <w:rPr>
          <w:rFonts w:eastAsia="新細明體" w:cs="Times New Roman"/>
          <w:i/>
          <w:lang w:val="fr-FR" w:eastAsia="zh-TW"/>
        </w:rPr>
      </w:pPr>
      <w:r w:rsidRPr="001C6EAC">
        <w:rPr>
          <w:rFonts w:eastAsia="新細明體" w:cs="Times New Roman"/>
          <w:i/>
          <w:lang w:val="fr-FR" w:eastAsia="zh-TW"/>
        </w:rPr>
        <w:t xml:space="preserve">The contents of the statute </w:t>
      </w:r>
    </w:p>
    <w:p w14:paraId="47420A9C" w14:textId="27021AC1" w:rsidR="00CB7296" w:rsidRPr="009C3279" w:rsidRDefault="00B96A8A" w:rsidP="001C6EAC">
      <w:pPr>
        <w:ind w:firstLine="284"/>
        <w:jc w:val="both"/>
      </w:pPr>
      <w:r>
        <w:rPr>
          <w:rFonts w:eastAsia="新細明體" w:cs="Times New Roman"/>
          <w:lang w:val="fr-FR" w:eastAsia="zh-TW"/>
        </w:rPr>
        <w:t>Here, the official commen</w:t>
      </w:r>
      <w:r w:rsidR="00200943">
        <w:rPr>
          <w:rFonts w:eastAsia="新細明體" w:cs="Times New Roman"/>
          <w:lang w:val="fr-FR" w:eastAsia="zh-TW"/>
        </w:rPr>
        <w:t>tary appended to the statute in the Qing Code is of great help</w:t>
      </w:r>
      <w:r w:rsidR="00200943">
        <w:rPr>
          <w:rStyle w:val="Marquenotebasdepage"/>
          <w:rFonts w:eastAsia="新細明體" w:cs="Times New Roman"/>
          <w:lang w:val="fr-FR" w:eastAsia="zh-TW"/>
        </w:rPr>
        <w:footnoteReference w:id="26"/>
      </w:r>
      <w:r w:rsidR="00200943">
        <w:rPr>
          <w:rFonts w:eastAsia="新細明體" w:cs="Times New Roman"/>
          <w:lang w:val="fr-FR" w:eastAsia="zh-TW"/>
        </w:rPr>
        <w:t xml:space="preserve">. It shows that the aim of this statute was to provide a guideline for magistrates as </w:t>
      </w:r>
      <w:r w:rsidR="00D201FE">
        <w:rPr>
          <w:rFonts w:eastAsia="新細明體" w:cs="Times New Roman"/>
          <w:lang w:val="fr-FR" w:eastAsia="zh-TW"/>
        </w:rPr>
        <w:t xml:space="preserve">to </w:t>
      </w:r>
      <w:r w:rsidR="00200943">
        <w:rPr>
          <w:rFonts w:eastAsia="新細明體" w:cs="Times New Roman"/>
          <w:lang w:val="fr-FR" w:eastAsia="zh-TW"/>
        </w:rPr>
        <w:t xml:space="preserve">how to </w:t>
      </w:r>
      <w:r w:rsidR="00D201FE">
        <w:rPr>
          <w:rFonts w:eastAsia="新細明體" w:cs="Times New Roman"/>
          <w:lang w:val="fr-FR" w:eastAsia="zh-TW"/>
        </w:rPr>
        <w:t>distinguish, in the process of adjudicating a case, between the statutes pertaining to the laws on rules and definitions (</w:t>
      </w:r>
      <w:r w:rsidR="00D201FE" w:rsidRPr="00D201FE">
        <w:rPr>
          <w:rFonts w:eastAsia="新細明體" w:cs="Times New Roman"/>
          <w:i/>
          <w:lang w:val="fr-FR" w:eastAsia="zh-TW"/>
        </w:rPr>
        <w:t>mingli lü</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名例律</w:t>
      </w:r>
      <w:r w:rsidR="00D201FE">
        <w:rPr>
          <w:rFonts w:eastAsia="新細明體" w:cs="Times New Roman"/>
          <w:lang w:val="fr-FR" w:eastAsia="zh-TW"/>
        </w:rPr>
        <w:t>), and the statutes and substatutes codified in the six other sections of the Code, which, as is well known, were organized along the lines of the six main spheres of public administration (</w:t>
      </w:r>
      <w:r w:rsidR="00D201FE" w:rsidRPr="00D201FE">
        <w:rPr>
          <w:rFonts w:eastAsia="新細明體" w:cs="Times New Roman"/>
          <w:i/>
          <w:lang w:val="fr-FR" w:eastAsia="zh-TW"/>
        </w:rPr>
        <w:t>li</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吏</w:t>
      </w:r>
      <w:r w:rsidR="00D201FE">
        <w:rPr>
          <w:rFonts w:eastAsia="新細明體" w:cs="Times New Roman"/>
          <w:lang w:val="fr-FR" w:eastAsia="zh-TW"/>
        </w:rPr>
        <w:t xml:space="preserve">, </w:t>
      </w:r>
      <w:r w:rsidR="00D201FE" w:rsidRPr="00D201FE">
        <w:rPr>
          <w:rFonts w:eastAsia="新細明體" w:cs="Times New Roman"/>
          <w:i/>
          <w:lang w:val="fr-FR" w:eastAsia="zh-TW"/>
        </w:rPr>
        <w:t>hu</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戶</w:t>
      </w:r>
      <w:r w:rsidR="00D201FE">
        <w:rPr>
          <w:rFonts w:eastAsia="新細明體" w:cs="Times New Roman"/>
          <w:lang w:val="fr-FR" w:eastAsia="zh-TW"/>
        </w:rPr>
        <w:t xml:space="preserve">, </w:t>
      </w:r>
      <w:r w:rsidR="00D201FE" w:rsidRPr="00D201FE">
        <w:rPr>
          <w:rFonts w:eastAsia="新細明體" w:cs="Times New Roman"/>
          <w:i/>
          <w:lang w:val="fr-FR" w:eastAsia="zh-TW"/>
        </w:rPr>
        <w:t>li</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禮</w:t>
      </w:r>
      <w:r w:rsidR="00D201FE">
        <w:rPr>
          <w:rFonts w:eastAsia="新細明體" w:cs="Times New Roman"/>
          <w:lang w:val="fr-FR" w:eastAsia="zh-TW"/>
        </w:rPr>
        <w:t xml:space="preserve">, </w:t>
      </w:r>
      <w:r w:rsidR="00D201FE" w:rsidRPr="00D201FE">
        <w:rPr>
          <w:rFonts w:eastAsia="新細明體" w:cs="Times New Roman"/>
          <w:i/>
          <w:lang w:val="fr-FR" w:eastAsia="zh-TW"/>
        </w:rPr>
        <w:t>bing</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兵</w:t>
      </w:r>
      <w:r w:rsidR="00D201FE">
        <w:rPr>
          <w:rFonts w:eastAsia="新細明體" w:cs="Times New Roman"/>
          <w:lang w:val="fr-FR" w:eastAsia="zh-TW"/>
        </w:rPr>
        <w:t xml:space="preserve">, </w:t>
      </w:r>
      <w:r w:rsidR="00D201FE" w:rsidRPr="00D201FE">
        <w:rPr>
          <w:rFonts w:eastAsia="新細明體" w:cs="Times New Roman"/>
          <w:i/>
          <w:lang w:val="fr-FR" w:eastAsia="zh-TW"/>
        </w:rPr>
        <w:t>xing</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刑</w:t>
      </w:r>
      <w:r w:rsidR="00D201FE">
        <w:rPr>
          <w:rFonts w:eastAsia="新細明體" w:cs="Times New Roman"/>
          <w:lang w:val="fr-FR" w:eastAsia="zh-TW"/>
        </w:rPr>
        <w:t xml:space="preserve">, </w:t>
      </w:r>
      <w:r w:rsidR="00D201FE" w:rsidRPr="00D201FE">
        <w:rPr>
          <w:rFonts w:eastAsia="新細明體" w:cs="Times New Roman"/>
          <w:i/>
          <w:lang w:val="fr-FR" w:eastAsia="zh-TW"/>
        </w:rPr>
        <w:t>gong</w:t>
      </w:r>
      <w:r w:rsidR="00D201FE">
        <w:rPr>
          <w:rFonts w:eastAsia="新細明體" w:cs="Times New Roman"/>
          <w:lang w:val="fr-FR" w:eastAsia="zh-TW"/>
        </w:rPr>
        <w:t xml:space="preserve"> </w:t>
      </w:r>
      <w:r w:rsidR="00D201FE">
        <w:rPr>
          <w:rFonts w:ascii="新細明體" w:eastAsia="新細明體" w:hAnsi="新細明體" w:cs="新細明體" w:hint="eastAsia"/>
          <w:lang w:val="fr-FR" w:eastAsia="zh-TW"/>
        </w:rPr>
        <w:t>工</w:t>
      </w:r>
      <w:r w:rsidR="00D201FE">
        <w:rPr>
          <w:rFonts w:eastAsia="新細明體" w:cs="Times New Roman"/>
          <w:lang w:val="fr-FR" w:eastAsia="zh-TW"/>
        </w:rPr>
        <w:t>). The former</w:t>
      </w:r>
      <w:r w:rsidR="000977F9">
        <w:rPr>
          <w:rFonts w:eastAsia="新細明體" w:cs="Times New Roman"/>
          <w:lang w:val="fr-FR" w:eastAsia="zh-TW"/>
        </w:rPr>
        <w:t>, as the commentary explains, bring together the rules that frame the legal workings of all the others (</w:t>
      </w:r>
      <w:r w:rsidR="000977F9" w:rsidRPr="0039474E">
        <w:rPr>
          <w:rFonts w:eastAsia="新細明體" w:cs="Times New Roman"/>
          <w:i/>
          <w:lang w:val="fr-FR" w:eastAsia="zh-TW"/>
        </w:rPr>
        <w:t>minglizhe</w:t>
      </w:r>
      <w:r w:rsidR="000977F9">
        <w:rPr>
          <w:rFonts w:eastAsia="新細明體" w:cs="Times New Roman"/>
          <w:lang w:val="fr-FR" w:eastAsia="zh-TW"/>
        </w:rPr>
        <w:t xml:space="preserve">, </w:t>
      </w:r>
      <w:r w:rsidR="000977F9" w:rsidRPr="0039474E">
        <w:rPr>
          <w:rFonts w:eastAsia="新細明體" w:cs="Times New Roman"/>
          <w:i/>
          <w:lang w:val="fr-FR" w:eastAsia="zh-TW"/>
        </w:rPr>
        <w:t>zhu lü zhi fanli ye</w:t>
      </w:r>
      <w:r w:rsidR="000977F9">
        <w:rPr>
          <w:rFonts w:eastAsia="新細明體" w:cs="Times New Roman"/>
          <w:lang w:val="fr-FR" w:eastAsia="zh-TW"/>
        </w:rPr>
        <w:t xml:space="preserve"> </w:t>
      </w:r>
      <w:r w:rsidR="000977F9">
        <w:rPr>
          <w:rFonts w:ascii="新細明體" w:eastAsia="新細明體" w:hAnsi="新細明體" w:cs="新細明體" w:hint="eastAsia"/>
          <w:lang w:val="fr-FR" w:eastAsia="zh-TW"/>
        </w:rPr>
        <w:t>名例者</w:t>
      </w:r>
      <w:r w:rsidR="000977F9" w:rsidRPr="000977F9">
        <w:rPr>
          <w:rFonts w:eastAsia="新細明體" w:cs="Times New Roman"/>
          <w:lang w:val="fr-FR" w:eastAsia="zh-TW"/>
        </w:rPr>
        <w:t xml:space="preserve">, </w:t>
      </w:r>
      <w:r w:rsidR="000977F9">
        <w:rPr>
          <w:rFonts w:ascii="新細明體" w:eastAsia="新細明體" w:hAnsi="新細明體" w:cs="新細明體" w:hint="eastAsia"/>
          <w:lang w:val="fr-FR" w:eastAsia="zh-TW"/>
        </w:rPr>
        <w:t>諸律之凡例也</w:t>
      </w:r>
      <w:r w:rsidR="000977F9">
        <w:rPr>
          <w:rFonts w:eastAsia="新細明體" w:cs="Times New Roman"/>
          <w:lang w:val="fr-FR" w:eastAsia="zh-TW"/>
        </w:rPr>
        <w:t xml:space="preserve">), whereas the latter provide the </w:t>
      </w:r>
      <w:r w:rsidR="0039474E">
        <w:rPr>
          <w:rFonts w:eastAsia="新細明體" w:cs="Times New Roman"/>
          <w:lang w:val="fr-FR" w:eastAsia="zh-TW"/>
        </w:rPr>
        <w:t xml:space="preserve">penalties to be applied to </w:t>
      </w:r>
      <w:r w:rsidR="000977F9">
        <w:rPr>
          <w:rFonts w:eastAsia="新細明體" w:cs="Times New Roman"/>
          <w:lang w:val="fr-FR" w:eastAsia="zh-TW"/>
        </w:rPr>
        <w:t xml:space="preserve">specific </w:t>
      </w:r>
      <w:r w:rsidR="0039474E">
        <w:rPr>
          <w:rFonts w:eastAsia="新細明體" w:cs="Times New Roman"/>
          <w:lang w:val="fr-FR" w:eastAsia="zh-TW"/>
        </w:rPr>
        <w:t xml:space="preserve">misconducts and crimes. In order for similar acts, but with different degrees of seriousness, not to be taken into consideration through the same provisions, </w:t>
      </w:r>
      <w:r w:rsidR="00CB7296">
        <w:rPr>
          <w:rFonts w:eastAsia="新細明體" w:cs="Times New Roman"/>
          <w:lang w:val="fr-FR" w:eastAsia="zh-TW"/>
        </w:rPr>
        <w:t xml:space="preserve">the </w:t>
      </w:r>
      <w:r w:rsidR="00CB7296" w:rsidRPr="00CB7296">
        <w:rPr>
          <w:rFonts w:eastAsia="新細明體" w:cs="Times New Roman"/>
          <w:i/>
          <w:lang w:val="fr-FR" w:eastAsia="zh-TW"/>
        </w:rPr>
        <w:t>Bentiao bie you zuiming</w:t>
      </w:r>
      <w:r w:rsidR="008B600A">
        <w:rPr>
          <w:rFonts w:eastAsia="新細明體" w:cs="Times New Roman"/>
          <w:lang w:val="fr-FR" w:eastAsia="zh-TW"/>
        </w:rPr>
        <w:t xml:space="preserve"> statute proposes</w:t>
      </w:r>
      <w:r w:rsidR="00CB7296">
        <w:rPr>
          <w:rFonts w:eastAsia="新細明體" w:cs="Times New Roman"/>
          <w:lang w:val="fr-FR" w:eastAsia="zh-TW"/>
        </w:rPr>
        <w:t xml:space="preserve"> some standards of distinction. </w:t>
      </w:r>
      <w:r w:rsidR="008B600A">
        <w:rPr>
          <w:rFonts w:eastAsia="新細明體" w:cs="Times New Roman"/>
          <w:lang w:val="fr-FR" w:eastAsia="zh-TW"/>
        </w:rPr>
        <w:t xml:space="preserve">The first, </w:t>
      </w:r>
      <w:r w:rsidR="00CB7296">
        <w:rPr>
          <w:rFonts w:eastAsia="新細明體" w:cs="Times New Roman"/>
          <w:lang w:val="fr-FR" w:eastAsia="zh-TW"/>
        </w:rPr>
        <w:t xml:space="preserve">which is </w:t>
      </w:r>
      <w:r w:rsidR="00B63E80">
        <w:rPr>
          <w:rFonts w:eastAsia="新細明體" w:cs="Times New Roman"/>
          <w:lang w:val="fr-FR" w:eastAsia="zh-TW"/>
        </w:rPr>
        <w:t xml:space="preserve">expounded in the </w:t>
      </w:r>
      <w:r w:rsidR="00CB7296">
        <w:rPr>
          <w:rFonts w:eastAsia="新細明體" w:cs="Times New Roman"/>
          <w:lang w:val="fr-FR" w:eastAsia="zh-TW"/>
        </w:rPr>
        <w:t xml:space="preserve">opening </w:t>
      </w:r>
      <w:r w:rsidR="00B63E80">
        <w:rPr>
          <w:rFonts w:eastAsia="新細明體" w:cs="Times New Roman"/>
          <w:lang w:val="fr-FR" w:eastAsia="zh-TW"/>
        </w:rPr>
        <w:t xml:space="preserve">paragraph, states that for a given crime, if the penalty included in the statute specifically drawn out to deal with it differs from that provided for in the laws on rules and definitions, the former ought to be applied. </w:t>
      </w:r>
      <w:r w:rsidR="00DC1C19">
        <w:rPr>
          <w:rFonts w:eastAsia="新細明體" w:cs="Times New Roman"/>
          <w:lang w:val="fr-FR" w:eastAsia="zh-TW"/>
        </w:rPr>
        <w:t>By giving preeminence</w:t>
      </w:r>
      <w:r w:rsidR="00CB7296">
        <w:rPr>
          <w:rFonts w:eastAsia="新細明體" w:cs="Times New Roman"/>
          <w:lang w:val="fr-FR" w:eastAsia="zh-TW"/>
        </w:rPr>
        <w:t>,</w:t>
      </w:r>
      <w:r w:rsidR="00DC1C19">
        <w:rPr>
          <w:rFonts w:eastAsia="新細明體" w:cs="Times New Roman"/>
          <w:lang w:val="fr-FR" w:eastAsia="zh-TW"/>
        </w:rPr>
        <w:t xml:space="preserve"> </w:t>
      </w:r>
      <w:r w:rsidR="00CB7296">
        <w:rPr>
          <w:rFonts w:eastAsia="新細明體" w:cs="Times New Roman"/>
          <w:lang w:val="fr-FR" w:eastAsia="zh-TW"/>
        </w:rPr>
        <w:t xml:space="preserve">when deemed necessary, </w:t>
      </w:r>
      <w:r w:rsidR="00DC1C19">
        <w:rPr>
          <w:rFonts w:eastAsia="新細明體" w:cs="Times New Roman"/>
          <w:lang w:val="fr-FR" w:eastAsia="zh-TW"/>
        </w:rPr>
        <w:t xml:space="preserve">to specific laws over those drafted to offer general </w:t>
      </w:r>
      <w:r w:rsidR="00D82B10">
        <w:rPr>
          <w:rFonts w:eastAsia="新細明體" w:cs="Times New Roman"/>
          <w:lang w:val="fr-FR" w:eastAsia="zh-TW"/>
        </w:rPr>
        <w:t xml:space="preserve">procedural and </w:t>
      </w:r>
      <w:r w:rsidR="00DC1C19">
        <w:rPr>
          <w:rFonts w:eastAsia="新細明體" w:cs="Times New Roman"/>
          <w:lang w:val="fr-FR" w:eastAsia="zh-TW"/>
        </w:rPr>
        <w:t>penal orientations</w:t>
      </w:r>
      <w:r w:rsidR="00CB7296">
        <w:rPr>
          <w:rFonts w:eastAsia="新細明體" w:cs="Times New Roman"/>
          <w:lang w:val="fr-FR" w:eastAsia="zh-TW"/>
        </w:rPr>
        <w:t>,</w:t>
      </w:r>
      <w:r w:rsidR="00146C90">
        <w:rPr>
          <w:rFonts w:eastAsia="新細明體" w:cs="Times New Roman"/>
          <w:lang w:val="fr-FR" w:eastAsia="zh-TW"/>
        </w:rPr>
        <w:t xml:space="preserve"> </w:t>
      </w:r>
      <w:r w:rsidR="00DC1C19">
        <w:rPr>
          <w:rFonts w:eastAsia="新細明體" w:cs="Times New Roman"/>
          <w:lang w:val="fr-FR" w:eastAsia="zh-TW"/>
        </w:rPr>
        <w:t xml:space="preserve">the legislator </w:t>
      </w:r>
      <w:r w:rsidR="00CB7296">
        <w:rPr>
          <w:rFonts w:eastAsia="新細明體" w:cs="Times New Roman"/>
          <w:lang w:val="fr-FR" w:eastAsia="zh-TW"/>
        </w:rPr>
        <w:t xml:space="preserve">aimed at bridging the gap </w:t>
      </w:r>
      <w:r w:rsidR="009C3279">
        <w:rPr>
          <w:rFonts w:eastAsia="新細明體" w:cs="Times New Roman"/>
          <w:lang w:val="fr-FR" w:eastAsia="zh-TW"/>
        </w:rPr>
        <w:t xml:space="preserve">which, in time, would inevitably </w:t>
      </w:r>
      <w:r w:rsidR="00146C90">
        <w:rPr>
          <w:rFonts w:eastAsia="新細明體" w:cs="Times New Roman"/>
          <w:lang w:val="fr-FR" w:eastAsia="zh-TW"/>
        </w:rPr>
        <w:t xml:space="preserve">distance </w:t>
      </w:r>
      <w:r w:rsidR="00F53C06">
        <w:rPr>
          <w:rFonts w:eastAsia="新細明體" w:cs="Times New Roman"/>
          <w:lang w:val="fr-FR" w:eastAsia="zh-TW"/>
        </w:rPr>
        <w:t xml:space="preserve">the former and the latter, </w:t>
      </w:r>
      <w:r w:rsidR="009C3279">
        <w:rPr>
          <w:rFonts w:eastAsia="新細明體" w:cs="Times New Roman"/>
          <w:lang w:val="fr-FR" w:eastAsia="zh-TW"/>
        </w:rPr>
        <w:t xml:space="preserve">if only because of the ever-evolving forms of criminality and the correlated unfolding </w:t>
      </w:r>
      <w:r w:rsidR="00F53C06">
        <w:rPr>
          <w:rFonts w:eastAsia="新細明體" w:cs="Times New Roman"/>
          <w:lang w:val="fr-FR" w:eastAsia="zh-TW"/>
        </w:rPr>
        <w:t>codification process</w:t>
      </w:r>
      <w:r w:rsidR="009C3279">
        <w:rPr>
          <w:rStyle w:val="Marquenotebasdepage"/>
          <w:rFonts w:eastAsia="新細明體" w:cs="Times New Roman"/>
          <w:lang w:val="fr-FR" w:eastAsia="zh-TW"/>
        </w:rPr>
        <w:footnoteReference w:id="27"/>
      </w:r>
      <w:r w:rsidR="00F53C06">
        <w:rPr>
          <w:rFonts w:eastAsia="新細明體" w:cs="Times New Roman"/>
          <w:lang w:val="fr-FR" w:eastAsia="zh-TW"/>
        </w:rPr>
        <w:t>.</w:t>
      </w:r>
    </w:p>
    <w:p w14:paraId="6F001B15" w14:textId="523605AA" w:rsidR="007721C8" w:rsidRDefault="00F53C06" w:rsidP="001C6EAC">
      <w:pPr>
        <w:ind w:firstLine="284"/>
        <w:jc w:val="both"/>
        <w:rPr>
          <w:rFonts w:eastAsia="新細明體" w:cs="Times New Roman"/>
          <w:lang w:val="fr-FR" w:eastAsia="zh-TW"/>
        </w:rPr>
      </w:pPr>
      <w:r>
        <w:rPr>
          <w:rFonts w:eastAsia="新細明體" w:cs="Times New Roman"/>
          <w:lang w:val="fr-FR" w:eastAsia="zh-TW"/>
        </w:rPr>
        <w:t xml:space="preserve">The second and third standards both deal with the adjustments to apply </w:t>
      </w:r>
      <w:r w:rsidR="00893C8A">
        <w:rPr>
          <w:rFonts w:eastAsia="新細明體" w:cs="Times New Roman"/>
          <w:lang w:val="fr-FR" w:eastAsia="zh-TW"/>
        </w:rPr>
        <w:t xml:space="preserve">to the penal responsibility of an individual </w:t>
      </w:r>
      <w:r>
        <w:rPr>
          <w:rFonts w:eastAsia="新細明體" w:cs="Times New Roman"/>
          <w:lang w:val="fr-FR" w:eastAsia="zh-TW"/>
        </w:rPr>
        <w:t xml:space="preserve">in relation with the question of </w:t>
      </w:r>
      <w:r w:rsidR="00893C8A">
        <w:rPr>
          <w:rFonts w:eastAsia="新細明體" w:cs="Times New Roman"/>
          <w:lang w:val="fr-FR" w:eastAsia="zh-TW"/>
        </w:rPr>
        <w:t xml:space="preserve">the degree of </w:t>
      </w:r>
      <w:r>
        <w:rPr>
          <w:rFonts w:eastAsia="新細明體" w:cs="Times New Roman"/>
          <w:lang w:val="fr-FR" w:eastAsia="zh-TW"/>
        </w:rPr>
        <w:t xml:space="preserve">criminal intent. We have seen above how the second paragraph of the statute calls for accrued severity in punishment </w:t>
      </w:r>
      <w:r w:rsidR="00893C8A">
        <w:rPr>
          <w:rFonts w:eastAsia="新細明體" w:cs="Times New Roman"/>
          <w:lang w:val="fr-FR" w:eastAsia="zh-TW"/>
        </w:rPr>
        <w:t>if it can be proven</w:t>
      </w:r>
      <w:r w:rsidR="00E1599E">
        <w:rPr>
          <w:rFonts w:eastAsia="新細明體" w:cs="Times New Roman"/>
          <w:lang w:val="fr-FR" w:eastAsia="zh-TW"/>
        </w:rPr>
        <w:t xml:space="preserve"> that by perpetrating a given wrongdoing, the culprit actually intended to avoid indictment for a more serious </w:t>
      </w:r>
      <w:r w:rsidR="00893C8A">
        <w:rPr>
          <w:rFonts w:eastAsia="新細明體" w:cs="Times New Roman"/>
          <w:lang w:val="fr-FR" w:eastAsia="zh-TW"/>
        </w:rPr>
        <w:t>one</w:t>
      </w:r>
      <w:r w:rsidR="00E1599E">
        <w:rPr>
          <w:rFonts w:eastAsia="新細明體" w:cs="Times New Roman"/>
          <w:lang w:val="fr-FR" w:eastAsia="zh-TW"/>
        </w:rPr>
        <w:t>. The third, in turn, approached the question from the opposite end</w:t>
      </w:r>
      <w:r w:rsidR="00893C8A">
        <w:rPr>
          <w:rFonts w:eastAsia="新細明體" w:cs="Times New Roman"/>
          <w:lang w:val="fr-FR" w:eastAsia="zh-TW"/>
        </w:rPr>
        <w:t xml:space="preserve">, </w:t>
      </w:r>
      <w:r w:rsidR="00847C12">
        <w:rPr>
          <w:rFonts w:eastAsia="新細明體" w:cs="Times New Roman"/>
          <w:lang w:val="fr-FR" w:eastAsia="zh-TW"/>
        </w:rPr>
        <w:t xml:space="preserve">that is, </w:t>
      </w:r>
      <w:r w:rsidR="00893C8A">
        <w:rPr>
          <w:rFonts w:eastAsia="新細明體" w:cs="Times New Roman"/>
          <w:lang w:val="fr-FR" w:eastAsia="zh-TW"/>
        </w:rPr>
        <w:t>through the notion of unawareness of the seriousness of one’s action whilst committing it (</w:t>
      </w:r>
      <w:r w:rsidR="00893C8A" w:rsidRPr="00941C3C">
        <w:rPr>
          <w:rFonts w:eastAsia="新細明體" w:cs="Times New Roman"/>
          <w:i/>
          <w:lang w:val="fr-FR" w:eastAsia="zh-TW"/>
        </w:rPr>
        <w:t>fanshi bu zhi</w:t>
      </w:r>
      <w:r w:rsidR="00893C8A">
        <w:rPr>
          <w:rFonts w:eastAsia="新細明體" w:cs="Times New Roman"/>
          <w:lang w:val="fr-FR" w:eastAsia="zh-TW"/>
        </w:rPr>
        <w:t xml:space="preserve"> </w:t>
      </w:r>
      <w:r w:rsidR="00893C8A">
        <w:rPr>
          <w:rFonts w:ascii="新細明體" w:eastAsia="新細明體" w:hAnsi="新細明體" w:cs="新細明體" w:hint="eastAsia"/>
          <w:lang w:val="fr-FR" w:eastAsia="zh-TW"/>
        </w:rPr>
        <w:t>犯時不知</w:t>
      </w:r>
      <w:r w:rsidR="00941C3C">
        <w:rPr>
          <w:rFonts w:eastAsia="新細明體" w:cs="Times New Roman"/>
          <w:lang w:val="fr-FR" w:eastAsia="zh-TW"/>
        </w:rPr>
        <w:t xml:space="preserve">). </w:t>
      </w:r>
      <w:r w:rsidR="00820352">
        <w:rPr>
          <w:rFonts w:eastAsia="新細明體" w:cs="Times New Roman"/>
          <w:lang w:val="fr-FR" w:eastAsia="zh-TW"/>
        </w:rPr>
        <w:t xml:space="preserve">Here, like in the previous paragraph, </w:t>
      </w:r>
      <w:r w:rsidR="00554FBB">
        <w:rPr>
          <w:rFonts w:eastAsia="新細明體" w:cs="Times New Roman"/>
          <w:lang w:val="fr-FR" w:eastAsia="zh-TW"/>
        </w:rPr>
        <w:t xml:space="preserve">ciminal intent </w:t>
      </w:r>
      <w:r w:rsidR="00554FBB" w:rsidRPr="00554FBB">
        <w:rPr>
          <w:rFonts w:eastAsia="新細明體" w:cs="Times New Roman"/>
          <w:i/>
          <w:lang w:val="fr-FR" w:eastAsia="zh-TW"/>
        </w:rPr>
        <w:t>per se</w:t>
      </w:r>
      <w:r w:rsidR="00554FBB">
        <w:rPr>
          <w:rFonts w:eastAsia="新細明體" w:cs="Times New Roman"/>
          <w:lang w:val="fr-FR" w:eastAsia="zh-TW"/>
        </w:rPr>
        <w:t xml:space="preserve"> is not at stake – the crime has </w:t>
      </w:r>
      <w:r w:rsidR="00D15AFE">
        <w:rPr>
          <w:rFonts w:eastAsia="新細明體" w:cs="Times New Roman"/>
          <w:lang w:val="fr-FR" w:eastAsia="zh-TW"/>
        </w:rPr>
        <w:t xml:space="preserve">indeed </w:t>
      </w:r>
      <w:r w:rsidR="00554FBB">
        <w:rPr>
          <w:rFonts w:eastAsia="新細明體" w:cs="Times New Roman"/>
          <w:lang w:val="fr-FR" w:eastAsia="zh-TW"/>
        </w:rPr>
        <w:t xml:space="preserve">been perpetrated. Rather, the problem tackled is how to determine the degree of penal responsibility of the perpetrator when it can be proven that </w:t>
      </w:r>
      <w:r w:rsidR="00D15AFE">
        <w:rPr>
          <w:rFonts w:eastAsia="新細明體" w:cs="Times New Roman"/>
          <w:lang w:val="fr-FR" w:eastAsia="zh-TW"/>
        </w:rPr>
        <w:t xml:space="preserve">he </w:t>
      </w:r>
      <w:r w:rsidR="00554FBB">
        <w:rPr>
          <w:rFonts w:eastAsia="新細明體" w:cs="Times New Roman"/>
          <w:lang w:val="fr-FR" w:eastAsia="zh-TW"/>
        </w:rPr>
        <w:t xml:space="preserve">was not aware of the </w:t>
      </w:r>
      <w:r w:rsidR="001365B3">
        <w:rPr>
          <w:rFonts w:eastAsia="新細明體" w:cs="Times New Roman"/>
          <w:lang w:val="fr-FR" w:eastAsia="zh-TW"/>
        </w:rPr>
        <w:t>actual</w:t>
      </w:r>
      <w:r w:rsidR="00847C12">
        <w:rPr>
          <w:rFonts w:eastAsia="新細明體" w:cs="Times New Roman"/>
          <w:lang w:val="fr-FR" w:eastAsia="zh-TW"/>
        </w:rPr>
        <w:t xml:space="preserve"> extent of his act</w:t>
      </w:r>
      <w:r w:rsidR="00554FBB">
        <w:rPr>
          <w:rFonts w:eastAsia="新細明體" w:cs="Times New Roman"/>
          <w:lang w:val="fr-FR" w:eastAsia="zh-TW"/>
        </w:rPr>
        <w:t xml:space="preserve">. Two situations are taken into consideration in the statute: </w:t>
      </w:r>
      <w:r w:rsidR="00D15AFE">
        <w:rPr>
          <w:rFonts w:eastAsia="新細明體" w:cs="Times New Roman"/>
          <w:lang w:val="fr-FR" w:eastAsia="zh-TW"/>
        </w:rPr>
        <w:t>a. the investigation reveals that the crime committed is actually more serious than considered at first ; b. it reveals that the crime is less serious. In both cases the penal responsibility is reduced, b</w:t>
      </w:r>
      <w:r w:rsidR="00422AC3">
        <w:rPr>
          <w:rFonts w:eastAsia="新細明體" w:cs="Times New Roman"/>
          <w:lang w:val="fr-FR" w:eastAsia="zh-TW"/>
        </w:rPr>
        <w:t xml:space="preserve">ut by different means. In the first instance, </w:t>
      </w:r>
      <w:r w:rsidR="00D15AFE">
        <w:rPr>
          <w:rFonts w:eastAsia="新細明體" w:cs="Times New Roman"/>
          <w:lang w:val="fr-FR" w:eastAsia="zh-TW"/>
        </w:rPr>
        <w:t xml:space="preserve">the magistrate </w:t>
      </w:r>
      <w:r w:rsidR="00422AC3">
        <w:rPr>
          <w:rFonts w:eastAsia="新細明體" w:cs="Times New Roman"/>
          <w:lang w:val="fr-FR" w:eastAsia="zh-TW"/>
        </w:rPr>
        <w:t xml:space="preserve">is ordered to </w:t>
      </w:r>
      <w:r w:rsidR="00D15AFE">
        <w:rPr>
          <w:rFonts w:eastAsia="新細明體" w:cs="Times New Roman"/>
          <w:lang w:val="fr-FR" w:eastAsia="zh-TW"/>
        </w:rPr>
        <w:t xml:space="preserve">adjudicate </w:t>
      </w:r>
      <w:r w:rsidR="00422AC3">
        <w:rPr>
          <w:rFonts w:eastAsia="新細明體" w:cs="Times New Roman"/>
          <w:lang w:val="fr-FR" w:eastAsia="zh-TW"/>
        </w:rPr>
        <w:t xml:space="preserve">without taking into consideration the aggravating circumstances </w:t>
      </w:r>
      <w:r w:rsidR="00E62880">
        <w:rPr>
          <w:rFonts w:eastAsia="新細明體" w:cs="Times New Roman"/>
          <w:lang w:val="fr-FR" w:eastAsia="zh-TW"/>
        </w:rPr>
        <w:t xml:space="preserve">brought to the fore by </w:t>
      </w:r>
      <w:r w:rsidR="00422AC3">
        <w:rPr>
          <w:rFonts w:eastAsia="新細明體" w:cs="Times New Roman"/>
          <w:lang w:val="fr-FR" w:eastAsia="zh-TW"/>
        </w:rPr>
        <w:t>the investigation, whereas in the second, he is asked to take the mitigating circumstances into account.</w:t>
      </w:r>
    </w:p>
    <w:p w14:paraId="12046800" w14:textId="1AA85A71" w:rsidR="00F53C06" w:rsidRDefault="00847C12" w:rsidP="001C6EAC">
      <w:pPr>
        <w:ind w:firstLine="284"/>
        <w:jc w:val="both"/>
        <w:rPr>
          <w:rFonts w:eastAsia="新細明體" w:cs="Times New Roman"/>
          <w:lang w:val="fr-FR" w:eastAsia="zh-TW"/>
        </w:rPr>
      </w:pPr>
      <w:r>
        <w:rPr>
          <w:rFonts w:eastAsia="新細明體" w:cs="Times New Roman"/>
          <w:lang w:val="fr-FR" w:eastAsia="zh-TW"/>
        </w:rPr>
        <w:t xml:space="preserve">It is interesting to note here that </w:t>
      </w:r>
      <w:r w:rsidR="002F5F10">
        <w:rPr>
          <w:rFonts w:eastAsia="新細明體" w:cs="Times New Roman"/>
          <w:lang w:val="fr-FR" w:eastAsia="zh-TW"/>
        </w:rPr>
        <w:t xml:space="preserve">among the three examples provided to make the precise meaning of both these standards explicit, two involve inter-family relations: that of a nephew and his uncle, on the one hand, and that of a father and a son, on the other, </w:t>
      </w:r>
      <w:r w:rsidR="008009AC">
        <w:rPr>
          <w:rFonts w:eastAsia="新細明體" w:cs="Times New Roman"/>
          <w:lang w:val="fr-FR" w:eastAsia="zh-TW"/>
        </w:rPr>
        <w:t>with, in both instances, the agnate relationship being ignored by the parties involved</w:t>
      </w:r>
      <w:r w:rsidR="008009AC">
        <w:rPr>
          <w:rStyle w:val="Marquenotebasdepage"/>
          <w:rFonts w:eastAsia="新細明體" w:cs="Times New Roman"/>
          <w:lang w:val="fr-FR" w:eastAsia="zh-TW"/>
        </w:rPr>
        <w:footnoteReference w:id="28"/>
      </w:r>
      <w:r w:rsidR="008009AC">
        <w:rPr>
          <w:rFonts w:eastAsia="新細明體" w:cs="Times New Roman"/>
          <w:lang w:val="fr-FR" w:eastAsia="zh-TW"/>
        </w:rPr>
        <w:t>.</w:t>
      </w:r>
      <w:r w:rsidR="00E7353A">
        <w:rPr>
          <w:rFonts w:eastAsia="新細明體" w:cs="Times New Roman"/>
          <w:lang w:val="fr-FR" w:eastAsia="zh-TW"/>
        </w:rPr>
        <w:t xml:space="preserve"> </w:t>
      </w:r>
      <w:r w:rsidR="005A252C">
        <w:rPr>
          <w:rFonts w:eastAsia="新細明體" w:cs="Times New Roman"/>
          <w:lang w:val="fr-FR" w:eastAsia="zh-TW"/>
        </w:rPr>
        <w:t>I</w:t>
      </w:r>
      <w:r w:rsidR="00E7353A">
        <w:rPr>
          <w:rFonts w:eastAsia="新細明體" w:cs="Times New Roman"/>
          <w:lang w:val="fr-FR" w:eastAsia="zh-TW"/>
        </w:rPr>
        <w:t xml:space="preserve">t is precisely this ignorance of </w:t>
      </w:r>
      <w:r w:rsidR="005A252C">
        <w:rPr>
          <w:rFonts w:eastAsia="新細明體" w:cs="Times New Roman"/>
          <w:lang w:val="fr-FR" w:eastAsia="zh-TW"/>
        </w:rPr>
        <w:t xml:space="preserve">the existence of </w:t>
      </w:r>
      <w:r w:rsidR="00E7353A">
        <w:rPr>
          <w:rFonts w:eastAsia="新細明體" w:cs="Times New Roman"/>
          <w:lang w:val="fr-FR" w:eastAsia="zh-TW"/>
        </w:rPr>
        <w:t>an otherwise hig</w:t>
      </w:r>
      <w:r w:rsidR="00EA75E8">
        <w:rPr>
          <w:rFonts w:eastAsia="新細明體" w:cs="Times New Roman"/>
          <w:lang w:val="fr-FR" w:eastAsia="zh-TW"/>
        </w:rPr>
        <w:t>hly bonding kinship relation</w:t>
      </w:r>
      <w:r w:rsidR="00E7353A">
        <w:rPr>
          <w:rFonts w:eastAsia="新細明體" w:cs="Times New Roman"/>
          <w:lang w:val="fr-FR" w:eastAsia="zh-TW"/>
        </w:rPr>
        <w:t xml:space="preserve">, </w:t>
      </w:r>
      <w:r w:rsidR="005D3470">
        <w:rPr>
          <w:rFonts w:eastAsia="新細明體" w:cs="Times New Roman"/>
          <w:lang w:val="fr-FR" w:eastAsia="zh-TW"/>
        </w:rPr>
        <w:t>especially</w:t>
      </w:r>
      <w:r w:rsidR="00E7353A">
        <w:rPr>
          <w:rFonts w:eastAsia="新細明體" w:cs="Times New Roman"/>
          <w:lang w:val="fr-FR" w:eastAsia="zh-TW"/>
        </w:rPr>
        <w:t xml:space="preserve"> from the standpoint of the law, which </w:t>
      </w:r>
      <w:r w:rsidR="005D3470">
        <w:rPr>
          <w:rFonts w:eastAsia="新細明體" w:cs="Times New Roman"/>
          <w:lang w:val="fr-FR" w:eastAsia="zh-TW"/>
        </w:rPr>
        <w:t>allows</w:t>
      </w:r>
      <w:r w:rsidR="007721C8">
        <w:rPr>
          <w:rFonts w:eastAsia="新細明體" w:cs="Times New Roman"/>
          <w:lang w:val="fr-FR" w:eastAsia="zh-TW"/>
        </w:rPr>
        <w:t>, in each case,</w:t>
      </w:r>
      <w:r w:rsidR="005D3470">
        <w:rPr>
          <w:rFonts w:eastAsia="新細明體" w:cs="Times New Roman"/>
          <w:lang w:val="fr-FR" w:eastAsia="zh-TW"/>
        </w:rPr>
        <w:t xml:space="preserve"> for the diminution of the degree of penal responsibility</w:t>
      </w:r>
      <w:r w:rsidR="005A252C">
        <w:rPr>
          <w:rFonts w:eastAsia="新細明體" w:cs="Times New Roman"/>
          <w:lang w:val="fr-FR" w:eastAsia="zh-TW"/>
        </w:rPr>
        <w:t>,</w:t>
      </w:r>
      <w:r w:rsidR="005D3470">
        <w:rPr>
          <w:rFonts w:eastAsia="新細明體" w:cs="Times New Roman"/>
          <w:lang w:val="fr-FR" w:eastAsia="zh-TW"/>
        </w:rPr>
        <w:t xml:space="preserve"> and thus the mitigation </w:t>
      </w:r>
      <w:r w:rsidR="007721C8">
        <w:rPr>
          <w:rFonts w:eastAsia="新細明體" w:cs="Times New Roman"/>
          <w:lang w:val="fr-FR" w:eastAsia="zh-TW"/>
        </w:rPr>
        <w:t xml:space="preserve">of the punishment. </w:t>
      </w:r>
      <w:r w:rsidR="005A252C">
        <w:rPr>
          <w:rFonts w:eastAsia="新細明體" w:cs="Times New Roman"/>
          <w:lang w:val="fr-FR" w:eastAsia="zh-TW"/>
        </w:rPr>
        <w:t>In this perspective, a</w:t>
      </w:r>
      <w:r w:rsidR="007721C8">
        <w:rPr>
          <w:rFonts w:eastAsia="新細明體" w:cs="Times New Roman"/>
          <w:lang w:val="fr-FR" w:eastAsia="zh-TW"/>
        </w:rPr>
        <w:t xml:space="preserve"> nephew who</w:t>
      </w:r>
      <w:r w:rsidR="005D3470">
        <w:rPr>
          <w:rFonts w:eastAsia="新細明體" w:cs="Times New Roman"/>
          <w:lang w:val="fr-FR" w:eastAsia="zh-TW"/>
        </w:rPr>
        <w:t xml:space="preserve">, having never known of the existence of one of his patrilineal uncles (the reverse being also true), hits this uncle during a brawl, </w:t>
      </w:r>
      <w:r w:rsidR="005A252C">
        <w:rPr>
          <w:rFonts w:eastAsia="新細明體" w:cs="Times New Roman"/>
          <w:lang w:val="fr-FR" w:eastAsia="zh-TW"/>
        </w:rPr>
        <w:t xml:space="preserve">will </w:t>
      </w:r>
      <w:r w:rsidR="001365B3">
        <w:rPr>
          <w:rFonts w:eastAsia="新細明體" w:cs="Times New Roman"/>
          <w:lang w:val="fr-FR" w:eastAsia="zh-TW"/>
        </w:rPr>
        <w:t>be sparred the systematic</w:t>
      </w:r>
      <w:r w:rsidR="005D3470">
        <w:rPr>
          <w:rFonts w:eastAsia="新細明體" w:cs="Times New Roman"/>
          <w:lang w:val="fr-FR" w:eastAsia="zh-TW"/>
        </w:rPr>
        <w:t xml:space="preserve"> harshness of the punishments meted out to juniors commmit</w:t>
      </w:r>
      <w:r w:rsidR="007721C8">
        <w:rPr>
          <w:rFonts w:eastAsia="新細明體" w:cs="Times New Roman"/>
          <w:lang w:val="fr-FR" w:eastAsia="zh-TW"/>
        </w:rPr>
        <w:t>ting unlawful acts against seniors in the family sphere, his case being adjudicated along the lines of ordinary affrays involving individuals non-related through family ties. A similar stance is adopted in the second illustration, but with a nuance</w:t>
      </w:r>
      <w:r w:rsidR="001B197F">
        <w:rPr>
          <w:rFonts w:eastAsia="新細明體" w:cs="Times New Roman"/>
          <w:lang w:val="fr-FR" w:eastAsia="zh-TW"/>
        </w:rPr>
        <w:t>: to our modern eyes, the “unaw</w:t>
      </w:r>
      <w:r w:rsidR="00F857D4">
        <w:rPr>
          <w:rFonts w:eastAsia="新細明體" w:cs="Times New Roman"/>
          <w:lang w:val="fr-FR" w:eastAsia="zh-TW"/>
        </w:rPr>
        <w:t>areness” criterion</w:t>
      </w:r>
      <w:r w:rsidR="001B197F">
        <w:rPr>
          <w:rFonts w:eastAsia="新細明體" w:cs="Times New Roman"/>
          <w:lang w:val="fr-FR" w:eastAsia="zh-TW"/>
        </w:rPr>
        <w:t xml:space="preserve"> should </w:t>
      </w:r>
      <w:r w:rsidR="0041508E">
        <w:rPr>
          <w:rFonts w:eastAsia="新細明體" w:cs="Times New Roman"/>
          <w:lang w:val="fr-FR" w:eastAsia="zh-TW"/>
        </w:rPr>
        <w:t xml:space="preserve">probably </w:t>
      </w:r>
      <w:r w:rsidR="001B197F">
        <w:rPr>
          <w:rFonts w:eastAsia="新細明體" w:cs="Times New Roman"/>
          <w:lang w:val="fr-FR" w:eastAsia="zh-TW"/>
        </w:rPr>
        <w:t>have resulted</w:t>
      </w:r>
      <w:r w:rsidR="00EA75E8">
        <w:rPr>
          <w:rFonts w:eastAsia="新細明體" w:cs="Times New Roman"/>
          <w:lang w:val="fr-FR" w:eastAsia="zh-TW"/>
        </w:rPr>
        <w:t>,</w:t>
      </w:r>
      <w:r w:rsidR="001B197F">
        <w:rPr>
          <w:rFonts w:eastAsia="新細明體" w:cs="Times New Roman"/>
          <w:lang w:val="fr-FR" w:eastAsia="zh-TW"/>
        </w:rPr>
        <w:t xml:space="preserve"> in both instances – that of </w:t>
      </w:r>
      <w:r w:rsidR="007845EB">
        <w:rPr>
          <w:rFonts w:eastAsia="新細明體" w:cs="Times New Roman"/>
          <w:lang w:val="fr-FR" w:eastAsia="zh-TW"/>
        </w:rPr>
        <w:t xml:space="preserve">a </w:t>
      </w:r>
      <w:r w:rsidR="001B197F">
        <w:rPr>
          <w:rFonts w:eastAsia="新細明體" w:cs="Times New Roman"/>
          <w:lang w:val="fr-FR" w:eastAsia="zh-TW"/>
        </w:rPr>
        <w:t>junior hitting a</w:t>
      </w:r>
      <w:r w:rsidR="007845EB">
        <w:rPr>
          <w:rFonts w:eastAsia="新細明體" w:cs="Times New Roman"/>
          <w:lang w:val="fr-FR" w:eastAsia="zh-TW"/>
        </w:rPr>
        <w:t>n unknown</w:t>
      </w:r>
      <w:r w:rsidR="001B197F">
        <w:rPr>
          <w:rFonts w:eastAsia="新細明體" w:cs="Times New Roman"/>
          <w:lang w:val="fr-FR" w:eastAsia="zh-TW"/>
        </w:rPr>
        <w:t xml:space="preserve"> senior and that of a senior hitting a</w:t>
      </w:r>
      <w:r w:rsidR="007845EB">
        <w:rPr>
          <w:rFonts w:eastAsia="新細明體" w:cs="Times New Roman"/>
          <w:lang w:val="fr-FR" w:eastAsia="zh-TW"/>
        </w:rPr>
        <w:t>n unknown</w:t>
      </w:r>
      <w:r w:rsidR="001B197F">
        <w:rPr>
          <w:rFonts w:eastAsia="新細明體" w:cs="Times New Roman"/>
          <w:lang w:val="fr-FR" w:eastAsia="zh-TW"/>
        </w:rPr>
        <w:t xml:space="preserve"> junior –</w:t>
      </w:r>
      <w:r w:rsidR="00EA75E8">
        <w:rPr>
          <w:rFonts w:eastAsia="新細明體" w:cs="Times New Roman"/>
          <w:lang w:val="fr-FR" w:eastAsia="zh-TW"/>
        </w:rPr>
        <w:t>,</w:t>
      </w:r>
      <w:r w:rsidR="001B197F">
        <w:rPr>
          <w:rFonts w:eastAsia="新細明體" w:cs="Times New Roman"/>
          <w:lang w:val="fr-FR" w:eastAsia="zh-TW"/>
        </w:rPr>
        <w:t xml:space="preserve"> in the same </w:t>
      </w:r>
      <w:r w:rsidR="007845EB">
        <w:rPr>
          <w:rFonts w:eastAsia="新細明體" w:cs="Times New Roman"/>
          <w:lang w:val="fr-FR" w:eastAsia="zh-TW"/>
        </w:rPr>
        <w:t xml:space="preserve">juridical solution, the forsaking of the family relationship as unrelevant to the case. </w:t>
      </w:r>
      <w:r w:rsidR="00F83ACA">
        <w:rPr>
          <w:rFonts w:eastAsia="新細明體" w:cs="Times New Roman"/>
          <w:lang w:val="fr-FR" w:eastAsia="zh-TW"/>
        </w:rPr>
        <w:t xml:space="preserve">It could be that this </w:t>
      </w:r>
      <w:r w:rsidR="008E7B8B">
        <w:rPr>
          <w:rFonts w:eastAsia="新細明體" w:cs="Times New Roman"/>
          <w:lang w:val="fr-FR" w:eastAsia="zh-TW"/>
        </w:rPr>
        <w:t xml:space="preserve">was </w:t>
      </w:r>
      <w:r w:rsidR="00F83ACA">
        <w:rPr>
          <w:rFonts w:eastAsia="新細明體" w:cs="Times New Roman"/>
          <w:lang w:val="fr-FR" w:eastAsia="zh-TW"/>
        </w:rPr>
        <w:t xml:space="preserve">considered </w:t>
      </w:r>
      <w:r w:rsidR="0041508E">
        <w:rPr>
          <w:rFonts w:eastAsia="新細明體" w:cs="Times New Roman"/>
          <w:lang w:val="fr-FR" w:eastAsia="zh-TW"/>
        </w:rPr>
        <w:t>unacceptable to China’s legislators</w:t>
      </w:r>
      <w:r w:rsidR="008E7B8B">
        <w:rPr>
          <w:rFonts w:eastAsia="新細明體" w:cs="Times New Roman"/>
          <w:lang w:val="fr-FR" w:eastAsia="zh-TW"/>
        </w:rPr>
        <w:t xml:space="preserve"> because</w:t>
      </w:r>
      <w:r w:rsidR="0041508E">
        <w:rPr>
          <w:rFonts w:eastAsia="新細明體" w:cs="Times New Roman"/>
          <w:lang w:val="fr-FR" w:eastAsia="zh-TW"/>
        </w:rPr>
        <w:t xml:space="preserve"> </w:t>
      </w:r>
      <w:r w:rsidR="008E7B8B">
        <w:rPr>
          <w:rFonts w:eastAsia="新細明體" w:cs="Times New Roman"/>
          <w:lang w:val="fr-FR" w:eastAsia="zh-TW"/>
        </w:rPr>
        <w:t>l</w:t>
      </w:r>
      <w:r w:rsidR="0041508E">
        <w:rPr>
          <w:rFonts w:eastAsia="新細明體" w:cs="Times New Roman"/>
          <w:lang w:val="fr-FR" w:eastAsia="zh-TW"/>
        </w:rPr>
        <w:t>eaving aside the family bond in this second instance – in other words</w:t>
      </w:r>
      <w:r w:rsidR="008E7B8B">
        <w:rPr>
          <w:rFonts w:eastAsia="新細明體" w:cs="Times New Roman"/>
          <w:lang w:val="fr-FR" w:eastAsia="zh-TW"/>
        </w:rPr>
        <w:t>,</w:t>
      </w:r>
      <w:r w:rsidR="0041508E">
        <w:rPr>
          <w:rFonts w:eastAsia="新細明體" w:cs="Times New Roman"/>
          <w:lang w:val="fr-FR" w:eastAsia="zh-TW"/>
        </w:rPr>
        <w:t xml:space="preserve"> </w:t>
      </w:r>
      <w:r w:rsidR="008E7B8B">
        <w:rPr>
          <w:rFonts w:eastAsia="新細明體" w:cs="Times New Roman"/>
          <w:lang w:val="fr-FR" w:eastAsia="zh-TW"/>
        </w:rPr>
        <w:t xml:space="preserve">also </w:t>
      </w:r>
      <w:r w:rsidR="0041508E">
        <w:rPr>
          <w:rFonts w:eastAsia="新細明體" w:cs="Times New Roman"/>
          <w:lang w:val="fr-FR" w:eastAsia="zh-TW"/>
        </w:rPr>
        <w:t xml:space="preserve">adjucating those cases according to ordinary brawls –, </w:t>
      </w:r>
      <w:r w:rsidR="008E7B8B">
        <w:rPr>
          <w:rFonts w:eastAsia="新細明體" w:cs="Times New Roman"/>
          <w:lang w:val="fr-FR" w:eastAsia="zh-TW"/>
        </w:rPr>
        <w:t xml:space="preserve">would have resulted in </w:t>
      </w:r>
      <w:r w:rsidR="0041508E">
        <w:rPr>
          <w:rFonts w:eastAsia="新細明體" w:cs="Times New Roman"/>
          <w:lang w:val="fr-FR" w:eastAsia="zh-TW"/>
        </w:rPr>
        <w:t>the penalty meted out to the wrongdoer</w:t>
      </w:r>
      <w:r w:rsidR="008E7B8B">
        <w:rPr>
          <w:rFonts w:eastAsia="新細明體" w:cs="Times New Roman"/>
          <w:lang w:val="fr-FR" w:eastAsia="zh-TW"/>
        </w:rPr>
        <w:t xml:space="preserve"> being </w:t>
      </w:r>
      <w:r w:rsidR="0041508E">
        <w:rPr>
          <w:rFonts w:eastAsia="新細明體" w:cs="Times New Roman"/>
          <w:lang w:val="fr-FR" w:eastAsia="zh-TW"/>
        </w:rPr>
        <w:t xml:space="preserve">more severe </w:t>
      </w:r>
      <w:r w:rsidR="00F857D4">
        <w:rPr>
          <w:rFonts w:eastAsia="新細明體" w:cs="Times New Roman"/>
          <w:lang w:val="fr-FR" w:eastAsia="zh-TW"/>
        </w:rPr>
        <w:t xml:space="preserve">than if the relationship </w:t>
      </w:r>
      <w:r w:rsidR="001365B3">
        <w:rPr>
          <w:rFonts w:eastAsia="新細明體" w:cs="Times New Roman"/>
          <w:lang w:val="fr-FR" w:eastAsia="zh-TW"/>
        </w:rPr>
        <w:t xml:space="preserve">were to be </w:t>
      </w:r>
      <w:r w:rsidR="00F857D4">
        <w:rPr>
          <w:rFonts w:eastAsia="新細明體" w:cs="Times New Roman"/>
          <w:lang w:val="fr-FR" w:eastAsia="zh-TW"/>
        </w:rPr>
        <w:t xml:space="preserve">taken into consideration. </w:t>
      </w:r>
      <w:r w:rsidR="008E7B8B">
        <w:rPr>
          <w:rFonts w:eastAsia="新細明體" w:cs="Times New Roman"/>
          <w:lang w:val="fr-FR" w:eastAsia="zh-TW"/>
        </w:rPr>
        <w:t xml:space="preserve">The option devised – require that the kinship link discovered during the investigation be, this time, </w:t>
      </w:r>
      <w:r w:rsidR="001365B3">
        <w:rPr>
          <w:rFonts w:eastAsia="新細明體" w:cs="Times New Roman"/>
          <w:lang w:val="fr-FR" w:eastAsia="zh-TW"/>
        </w:rPr>
        <w:t>considered relevant</w:t>
      </w:r>
      <w:r w:rsidR="008E7B8B">
        <w:rPr>
          <w:rFonts w:eastAsia="新細明體" w:cs="Times New Roman"/>
          <w:lang w:val="fr-FR" w:eastAsia="zh-TW"/>
        </w:rPr>
        <w:t xml:space="preserve"> – can readily be related to the </w:t>
      </w:r>
      <w:r w:rsidR="00C15785">
        <w:rPr>
          <w:rFonts w:eastAsia="新細明體" w:cs="Times New Roman"/>
          <w:lang w:val="fr-FR" w:eastAsia="zh-TW"/>
        </w:rPr>
        <w:t xml:space="preserve">emphasis put on </w:t>
      </w:r>
      <w:r w:rsidR="008E7B8B">
        <w:rPr>
          <w:rFonts w:eastAsia="新細明體" w:cs="Times New Roman"/>
          <w:lang w:val="fr-FR" w:eastAsia="zh-TW"/>
        </w:rPr>
        <w:t>kinship bonds in traditional Chinese law</w:t>
      </w:r>
      <w:r w:rsidR="00F83ACA">
        <w:rPr>
          <w:rFonts w:eastAsia="新細明體" w:cs="Times New Roman"/>
          <w:lang w:val="fr-FR" w:eastAsia="zh-TW"/>
        </w:rPr>
        <w:t>, especially the penal leniency with which senior generations were customarily treated by the em</w:t>
      </w:r>
      <w:r w:rsidR="00E62880">
        <w:rPr>
          <w:rFonts w:eastAsia="新細明體" w:cs="Times New Roman"/>
          <w:lang w:val="fr-FR" w:eastAsia="zh-TW"/>
        </w:rPr>
        <w:t>p</w:t>
      </w:r>
      <w:r w:rsidR="00F83ACA">
        <w:rPr>
          <w:rFonts w:eastAsia="新細明體" w:cs="Times New Roman"/>
          <w:lang w:val="fr-FR" w:eastAsia="zh-TW"/>
        </w:rPr>
        <w:t>ire’s judiciary</w:t>
      </w:r>
      <w:r w:rsidR="008E7B8B">
        <w:rPr>
          <w:rFonts w:eastAsia="新細明體" w:cs="Times New Roman"/>
          <w:lang w:val="fr-FR" w:eastAsia="zh-TW"/>
        </w:rPr>
        <w:t xml:space="preserve">. </w:t>
      </w:r>
      <w:r w:rsidR="00C15785">
        <w:rPr>
          <w:rFonts w:eastAsia="新細明體" w:cs="Times New Roman"/>
          <w:lang w:val="fr-FR" w:eastAsia="zh-TW"/>
        </w:rPr>
        <w:t>But i</w:t>
      </w:r>
      <w:r w:rsidR="00F857D4">
        <w:rPr>
          <w:rFonts w:eastAsia="新細明體" w:cs="Times New Roman"/>
          <w:lang w:val="fr-FR" w:eastAsia="zh-TW"/>
        </w:rPr>
        <w:t xml:space="preserve">f </w:t>
      </w:r>
      <w:r w:rsidR="00EA4F47">
        <w:rPr>
          <w:rFonts w:eastAsia="新細明體" w:cs="Times New Roman"/>
          <w:lang w:val="fr-FR" w:eastAsia="zh-TW"/>
        </w:rPr>
        <w:t>we set</w:t>
      </w:r>
      <w:r w:rsidR="00F857D4">
        <w:rPr>
          <w:rFonts w:eastAsia="新細明體" w:cs="Times New Roman"/>
          <w:lang w:val="fr-FR" w:eastAsia="zh-TW"/>
        </w:rPr>
        <w:t xml:space="preserve"> aside </w:t>
      </w:r>
      <w:r w:rsidR="00C15785">
        <w:rPr>
          <w:rFonts w:eastAsia="新細明體" w:cs="Times New Roman"/>
          <w:lang w:val="fr-FR" w:eastAsia="zh-TW"/>
        </w:rPr>
        <w:t xml:space="preserve">this dimension, which </w:t>
      </w:r>
      <w:r w:rsidR="006C7943">
        <w:rPr>
          <w:rFonts w:eastAsia="新細明體" w:cs="Times New Roman"/>
          <w:lang w:val="fr-FR" w:eastAsia="zh-TW"/>
        </w:rPr>
        <w:t xml:space="preserve">does feel </w:t>
      </w:r>
      <w:r w:rsidR="00C15785">
        <w:rPr>
          <w:rFonts w:eastAsia="新細明體" w:cs="Times New Roman"/>
          <w:lang w:val="fr-FR" w:eastAsia="zh-TW"/>
        </w:rPr>
        <w:t>peculiar from a contemporary juridical standpoint, the reasons for this</w:t>
      </w:r>
      <w:r w:rsidR="00F857D4">
        <w:rPr>
          <w:rFonts w:eastAsia="新細明體" w:cs="Times New Roman"/>
          <w:lang w:val="fr-FR" w:eastAsia="zh-TW"/>
        </w:rPr>
        <w:t xml:space="preserve"> </w:t>
      </w:r>
      <w:r w:rsidR="00EA4F47">
        <w:rPr>
          <w:rFonts w:eastAsia="新細明體" w:cs="Times New Roman"/>
          <w:lang w:val="fr-FR" w:eastAsia="zh-TW"/>
        </w:rPr>
        <w:t xml:space="preserve">option </w:t>
      </w:r>
      <w:r w:rsidR="00C15785">
        <w:rPr>
          <w:rFonts w:eastAsia="新細明體" w:cs="Times New Roman"/>
          <w:lang w:val="fr-FR" w:eastAsia="zh-TW"/>
        </w:rPr>
        <w:t xml:space="preserve">being espoused </w:t>
      </w:r>
      <w:r w:rsidR="006C7943">
        <w:rPr>
          <w:rFonts w:eastAsia="新細明體" w:cs="Times New Roman"/>
          <w:lang w:val="fr-FR" w:eastAsia="zh-TW"/>
        </w:rPr>
        <w:t xml:space="preserve">simply </w:t>
      </w:r>
      <w:r w:rsidR="00C15785">
        <w:rPr>
          <w:rFonts w:eastAsia="新細明體" w:cs="Times New Roman"/>
          <w:lang w:val="fr-FR" w:eastAsia="zh-TW"/>
        </w:rPr>
        <w:t>boil</w:t>
      </w:r>
      <w:r w:rsidR="00EA4F47">
        <w:rPr>
          <w:rFonts w:eastAsia="新細明體" w:cs="Times New Roman"/>
          <w:lang w:val="fr-FR" w:eastAsia="zh-TW"/>
        </w:rPr>
        <w:t xml:space="preserve"> down to </w:t>
      </w:r>
      <w:r w:rsidR="00C15785">
        <w:rPr>
          <w:rFonts w:eastAsia="新細明體" w:cs="Times New Roman"/>
          <w:lang w:val="fr-FR" w:eastAsia="zh-TW"/>
        </w:rPr>
        <w:t xml:space="preserve">the necessity of </w:t>
      </w:r>
      <w:r w:rsidR="00EA4F47">
        <w:rPr>
          <w:rFonts w:eastAsia="新細明體" w:cs="Times New Roman"/>
          <w:lang w:val="fr-FR" w:eastAsia="zh-TW"/>
        </w:rPr>
        <w:t xml:space="preserve">upholding legal coherence. </w:t>
      </w:r>
      <w:r w:rsidR="00BC34B2">
        <w:rPr>
          <w:rFonts w:eastAsia="新細明體" w:cs="Times New Roman"/>
          <w:lang w:val="fr-FR" w:eastAsia="zh-TW"/>
        </w:rPr>
        <w:t xml:space="preserve">As we have seen, this specific </w:t>
      </w:r>
      <w:r w:rsidR="00EA4F47">
        <w:rPr>
          <w:rFonts w:eastAsia="新細明體" w:cs="Times New Roman"/>
          <w:lang w:val="fr-FR" w:eastAsia="zh-TW"/>
        </w:rPr>
        <w:t xml:space="preserve">paragraph </w:t>
      </w:r>
      <w:r w:rsidR="00C15785">
        <w:rPr>
          <w:rFonts w:eastAsia="新細明體" w:cs="Times New Roman"/>
          <w:lang w:val="fr-FR" w:eastAsia="zh-TW"/>
        </w:rPr>
        <w:t xml:space="preserve">of </w:t>
      </w:r>
      <w:r w:rsidR="00BC34B2">
        <w:rPr>
          <w:rFonts w:eastAsia="新細明體" w:cs="Times New Roman"/>
          <w:lang w:val="fr-FR" w:eastAsia="zh-TW"/>
        </w:rPr>
        <w:t xml:space="preserve">the </w:t>
      </w:r>
      <w:r w:rsidR="00C15785">
        <w:rPr>
          <w:rFonts w:eastAsia="新細明體" w:cs="Times New Roman"/>
          <w:lang w:val="fr-FR" w:eastAsia="zh-TW"/>
        </w:rPr>
        <w:t xml:space="preserve">statute </w:t>
      </w:r>
      <w:r w:rsidR="00BC34B2">
        <w:rPr>
          <w:rFonts w:eastAsia="新細明體" w:cs="Times New Roman"/>
          <w:lang w:val="fr-FR" w:eastAsia="zh-TW"/>
        </w:rPr>
        <w:t>vies</w:t>
      </w:r>
      <w:r w:rsidR="00EA4F47">
        <w:rPr>
          <w:rFonts w:eastAsia="新細明體" w:cs="Times New Roman"/>
          <w:lang w:val="fr-FR" w:eastAsia="zh-TW"/>
        </w:rPr>
        <w:t xml:space="preserve"> to clear an individual of part of his penal responsibility</w:t>
      </w:r>
      <w:r w:rsidR="00BC34B2">
        <w:rPr>
          <w:rFonts w:eastAsia="新細明體" w:cs="Times New Roman"/>
          <w:lang w:val="fr-FR" w:eastAsia="zh-TW"/>
        </w:rPr>
        <w:t>,</w:t>
      </w:r>
      <w:r w:rsidR="00EA4F47">
        <w:rPr>
          <w:rFonts w:eastAsia="新細明體" w:cs="Times New Roman"/>
          <w:lang w:val="fr-FR" w:eastAsia="zh-TW"/>
        </w:rPr>
        <w:t xml:space="preserve"> </w:t>
      </w:r>
      <w:r w:rsidR="00BC34B2">
        <w:rPr>
          <w:rFonts w:eastAsia="新細明體" w:cs="Times New Roman"/>
          <w:lang w:val="fr-FR" w:eastAsia="zh-TW"/>
        </w:rPr>
        <w:t xml:space="preserve">and thus condemn him to a lighter penalty, </w:t>
      </w:r>
      <w:r w:rsidR="00EA4F47">
        <w:rPr>
          <w:rFonts w:eastAsia="新細明體" w:cs="Times New Roman"/>
          <w:lang w:val="fr-FR" w:eastAsia="zh-TW"/>
        </w:rPr>
        <w:t xml:space="preserve">due to his unawareness of the seriousness of </w:t>
      </w:r>
      <w:r w:rsidR="00BC34B2">
        <w:rPr>
          <w:rFonts w:eastAsia="新細明體" w:cs="Times New Roman"/>
          <w:lang w:val="fr-FR" w:eastAsia="zh-TW"/>
        </w:rPr>
        <w:t>the act he committed.</w:t>
      </w:r>
      <w:r w:rsidR="007A6CB0">
        <w:rPr>
          <w:rFonts w:eastAsia="新細明體" w:cs="Times New Roman"/>
          <w:lang w:val="fr-FR" w:eastAsia="zh-TW"/>
        </w:rPr>
        <w:t xml:space="preserve"> </w:t>
      </w:r>
      <w:r w:rsidR="001365B3">
        <w:rPr>
          <w:rFonts w:eastAsia="新細明體" w:cs="Times New Roman"/>
          <w:lang w:val="fr-FR" w:eastAsia="zh-TW"/>
        </w:rPr>
        <w:t>L</w:t>
      </w:r>
      <w:r w:rsidR="00C458CF">
        <w:rPr>
          <w:rFonts w:eastAsia="新細明體" w:cs="Times New Roman"/>
          <w:lang w:val="fr-FR" w:eastAsia="zh-TW"/>
        </w:rPr>
        <w:t xml:space="preserve">etting such </w:t>
      </w:r>
      <w:r w:rsidR="00E62880">
        <w:rPr>
          <w:rFonts w:eastAsia="新細明體" w:cs="Times New Roman"/>
          <w:lang w:val="fr-FR" w:eastAsia="zh-TW"/>
        </w:rPr>
        <w:t>a</w:t>
      </w:r>
      <w:r w:rsidR="00BC34B2">
        <w:rPr>
          <w:rFonts w:eastAsia="新細明體" w:cs="Times New Roman"/>
          <w:lang w:val="fr-FR" w:eastAsia="zh-TW"/>
        </w:rPr>
        <w:t xml:space="preserve"> </w:t>
      </w:r>
      <w:r w:rsidR="00C458CF">
        <w:rPr>
          <w:rFonts w:eastAsia="新細明體" w:cs="Times New Roman"/>
          <w:lang w:val="fr-FR" w:eastAsia="zh-TW"/>
        </w:rPr>
        <w:t>loophole</w:t>
      </w:r>
      <w:r w:rsidR="00BC34B2">
        <w:rPr>
          <w:rFonts w:eastAsia="新細明體" w:cs="Times New Roman"/>
          <w:lang w:val="fr-FR" w:eastAsia="zh-TW"/>
        </w:rPr>
        <w:t xml:space="preserve"> </w:t>
      </w:r>
      <w:r w:rsidR="00C458CF">
        <w:rPr>
          <w:rFonts w:eastAsia="新細明體" w:cs="Times New Roman"/>
          <w:lang w:val="fr-FR" w:eastAsia="zh-TW"/>
        </w:rPr>
        <w:t xml:space="preserve">persist, </w:t>
      </w:r>
      <w:r w:rsidR="00BC34B2">
        <w:rPr>
          <w:rFonts w:eastAsia="新細明體" w:cs="Times New Roman"/>
          <w:lang w:val="fr-FR" w:eastAsia="zh-TW"/>
        </w:rPr>
        <w:t xml:space="preserve">that </w:t>
      </w:r>
      <w:r w:rsidR="007A6CB0">
        <w:rPr>
          <w:rFonts w:eastAsia="新細明體" w:cs="Times New Roman"/>
          <w:lang w:val="fr-FR" w:eastAsia="zh-TW"/>
        </w:rPr>
        <w:t xml:space="preserve">might </w:t>
      </w:r>
      <w:r w:rsidR="00BC34B2">
        <w:rPr>
          <w:rFonts w:eastAsia="新細明體" w:cs="Times New Roman"/>
          <w:lang w:val="fr-FR" w:eastAsia="zh-TW"/>
        </w:rPr>
        <w:t>result</w:t>
      </w:r>
      <w:r w:rsidR="007A6CB0">
        <w:rPr>
          <w:rFonts w:eastAsia="新細明體" w:cs="Times New Roman"/>
          <w:lang w:val="fr-FR" w:eastAsia="zh-TW"/>
        </w:rPr>
        <w:t xml:space="preserve"> in more rigorous condemnations</w:t>
      </w:r>
      <w:r w:rsidR="00C458CF">
        <w:rPr>
          <w:rFonts w:eastAsia="新細明體" w:cs="Times New Roman"/>
          <w:lang w:val="fr-FR" w:eastAsia="zh-TW"/>
        </w:rPr>
        <w:t>,</w:t>
      </w:r>
      <w:r w:rsidR="00BC34B2">
        <w:rPr>
          <w:rFonts w:eastAsia="新細明體" w:cs="Times New Roman"/>
          <w:lang w:val="fr-FR" w:eastAsia="zh-TW"/>
        </w:rPr>
        <w:t xml:space="preserve"> </w:t>
      </w:r>
      <w:r w:rsidR="00C458CF">
        <w:rPr>
          <w:rFonts w:eastAsia="新細明體" w:cs="Times New Roman"/>
          <w:lang w:val="fr-FR" w:eastAsia="zh-TW"/>
        </w:rPr>
        <w:t>was not an option</w:t>
      </w:r>
      <w:r w:rsidR="007A6CB0">
        <w:rPr>
          <w:rFonts w:eastAsia="新細明體" w:cs="Times New Roman"/>
          <w:lang w:val="fr-FR" w:eastAsia="zh-TW"/>
        </w:rPr>
        <w:t>.</w:t>
      </w:r>
    </w:p>
    <w:p w14:paraId="6623FAAA" w14:textId="77777777" w:rsidR="001365B3" w:rsidRDefault="003F76E4" w:rsidP="001C6EAC">
      <w:pPr>
        <w:ind w:firstLine="284"/>
        <w:jc w:val="both"/>
        <w:rPr>
          <w:rFonts w:eastAsia="新細明體" w:cs="Times New Roman"/>
          <w:lang w:val="fr-FR" w:eastAsia="zh-TW"/>
        </w:rPr>
      </w:pPr>
      <w:r>
        <w:rPr>
          <w:rFonts w:eastAsia="新細明體" w:cs="Times New Roman"/>
          <w:lang w:val="fr-FR" w:eastAsia="zh-TW"/>
        </w:rPr>
        <w:t xml:space="preserve">At this point, it seems clear that the notion of “unawareness of the seriousness of one’s crime” was linked, </w:t>
      </w:r>
      <w:r w:rsidR="00C458CF">
        <w:rPr>
          <w:rFonts w:eastAsia="新細明體" w:cs="Times New Roman"/>
          <w:lang w:val="fr-FR" w:eastAsia="zh-TW"/>
        </w:rPr>
        <w:t xml:space="preserve">in China’s </w:t>
      </w:r>
      <w:r>
        <w:rPr>
          <w:rFonts w:eastAsia="新細明體" w:cs="Times New Roman"/>
          <w:lang w:val="fr-FR" w:eastAsia="zh-TW"/>
        </w:rPr>
        <w:t xml:space="preserve">legal </w:t>
      </w:r>
      <w:r w:rsidR="00C458CF">
        <w:rPr>
          <w:rFonts w:eastAsia="新細明體" w:cs="Times New Roman"/>
          <w:lang w:val="fr-FR" w:eastAsia="zh-TW"/>
        </w:rPr>
        <w:t>build-up</w:t>
      </w:r>
      <w:r>
        <w:rPr>
          <w:rFonts w:eastAsia="新細明體" w:cs="Times New Roman"/>
          <w:lang w:val="fr-FR" w:eastAsia="zh-TW"/>
        </w:rPr>
        <w:t xml:space="preserve">, to </w:t>
      </w:r>
      <w:r w:rsidR="00904BFC">
        <w:rPr>
          <w:rFonts w:eastAsia="新細明體" w:cs="Times New Roman"/>
          <w:lang w:val="fr-FR" w:eastAsia="zh-TW"/>
        </w:rPr>
        <w:t>such cardinal principles as criminal intent and penal responsibility.</w:t>
      </w:r>
      <w:r w:rsidR="00C458CF">
        <w:rPr>
          <w:rFonts w:eastAsia="新細明體" w:cs="Times New Roman"/>
          <w:lang w:val="fr-FR" w:eastAsia="zh-TW"/>
        </w:rPr>
        <w:t xml:space="preserve"> Let aside the examples provided in the text of the law itslef, it should be noted, though, </w:t>
      </w:r>
      <w:r w:rsidR="00904BFC">
        <w:rPr>
          <w:rFonts w:eastAsia="新細明體" w:cs="Times New Roman"/>
          <w:lang w:val="fr-FR" w:eastAsia="zh-TW"/>
        </w:rPr>
        <w:t xml:space="preserve">that </w:t>
      </w:r>
      <w:r w:rsidR="001528D1">
        <w:rPr>
          <w:rFonts w:eastAsia="新細明體" w:cs="Times New Roman"/>
          <w:lang w:val="fr-FR" w:eastAsia="zh-TW"/>
        </w:rPr>
        <w:t xml:space="preserve">the four characters that compose the expression </w:t>
      </w:r>
      <w:r w:rsidR="001528D1" w:rsidRPr="001528D1">
        <w:rPr>
          <w:rFonts w:eastAsia="新細明體" w:cs="Times New Roman"/>
          <w:i/>
          <w:lang w:val="fr-FR" w:eastAsia="zh-TW"/>
        </w:rPr>
        <w:t>fanshi bu zhi</w:t>
      </w:r>
      <w:r w:rsidR="001528D1">
        <w:rPr>
          <w:rFonts w:eastAsia="新細明體" w:cs="Times New Roman"/>
          <w:lang w:val="fr-FR" w:eastAsia="zh-TW"/>
        </w:rPr>
        <w:t xml:space="preserve"> are, to my knowledge, never glossed or explained independently in the wide array of Code commentaries and juridical treatises that have been handed down to us in time, and which are but two </w:t>
      </w:r>
      <w:r w:rsidR="00B96FDB">
        <w:rPr>
          <w:rFonts w:eastAsia="新細明體" w:cs="Times New Roman"/>
          <w:lang w:val="fr-FR" w:eastAsia="zh-TW"/>
        </w:rPr>
        <w:t xml:space="preserve">of the </w:t>
      </w:r>
      <w:r w:rsidR="001528D1">
        <w:rPr>
          <w:rFonts w:eastAsia="新細明體" w:cs="Times New Roman"/>
          <w:lang w:val="fr-FR" w:eastAsia="zh-TW"/>
        </w:rPr>
        <w:t xml:space="preserve">“genres” </w:t>
      </w:r>
      <w:r w:rsidR="00C458CF">
        <w:rPr>
          <w:rFonts w:eastAsia="新細明體" w:cs="Times New Roman"/>
          <w:lang w:val="fr-FR" w:eastAsia="zh-TW"/>
        </w:rPr>
        <w:t>that</w:t>
      </w:r>
      <w:r w:rsidR="00B96FDB">
        <w:rPr>
          <w:rFonts w:eastAsia="新細明體" w:cs="Times New Roman"/>
          <w:lang w:val="fr-FR" w:eastAsia="zh-TW"/>
        </w:rPr>
        <w:t xml:space="preserve"> make up </w:t>
      </w:r>
      <w:r w:rsidR="001528D1">
        <w:rPr>
          <w:rFonts w:eastAsia="新細明體" w:cs="Times New Roman"/>
          <w:lang w:val="fr-FR" w:eastAsia="zh-TW"/>
        </w:rPr>
        <w:t>the enormous written production of imperial China’s legal and administrative culture</w:t>
      </w:r>
      <w:r w:rsidR="001528D1">
        <w:rPr>
          <w:rStyle w:val="Marquenotebasdepage"/>
          <w:rFonts w:eastAsia="新細明體" w:cs="Times New Roman"/>
          <w:lang w:val="fr-FR" w:eastAsia="zh-TW"/>
        </w:rPr>
        <w:footnoteReference w:id="29"/>
      </w:r>
      <w:r w:rsidR="001528D1">
        <w:rPr>
          <w:rFonts w:eastAsia="新細明體" w:cs="Times New Roman"/>
          <w:lang w:val="fr-FR" w:eastAsia="zh-TW"/>
        </w:rPr>
        <w:t xml:space="preserve">. </w:t>
      </w:r>
      <w:r w:rsidR="005329AB">
        <w:rPr>
          <w:rFonts w:eastAsia="新細明體" w:cs="Times New Roman"/>
          <w:lang w:val="fr-FR" w:eastAsia="zh-TW"/>
        </w:rPr>
        <w:t xml:space="preserve">One of the rare comments I have come across is found in Lei Menglin’s </w:t>
      </w:r>
      <w:r w:rsidR="005329AB" w:rsidRPr="005329AB">
        <w:rPr>
          <w:rFonts w:eastAsia="新細明體" w:cs="Times New Roman"/>
          <w:i/>
          <w:lang w:val="fr-FR" w:eastAsia="zh-TW"/>
        </w:rPr>
        <w:t>Dulü suoyan</w:t>
      </w:r>
      <w:r w:rsidR="00257417">
        <w:rPr>
          <w:rFonts w:eastAsia="新細明體" w:cs="Times New Roman"/>
          <w:lang w:val="fr-FR" w:eastAsia="zh-TW"/>
        </w:rPr>
        <w:t>, where the author, after havi</w:t>
      </w:r>
      <w:r w:rsidR="005329AB">
        <w:rPr>
          <w:rFonts w:eastAsia="新細明體" w:cs="Times New Roman"/>
          <w:lang w:val="fr-FR" w:eastAsia="zh-TW"/>
        </w:rPr>
        <w:t xml:space="preserve">ng paraphrased </w:t>
      </w:r>
      <w:r w:rsidR="00257417">
        <w:rPr>
          <w:rFonts w:eastAsia="新細明體" w:cs="Times New Roman"/>
          <w:lang w:val="fr-FR" w:eastAsia="zh-TW"/>
        </w:rPr>
        <w:t>the app</w:t>
      </w:r>
      <w:r w:rsidR="001365B3">
        <w:rPr>
          <w:rFonts w:eastAsia="新細明體" w:cs="Times New Roman"/>
          <w:lang w:val="fr-FR" w:eastAsia="zh-TW"/>
        </w:rPr>
        <w:t>ropriate passage of the statute,</w:t>
      </w:r>
      <w:r w:rsidR="00257417">
        <w:rPr>
          <w:rFonts w:eastAsia="新細明體" w:cs="Times New Roman"/>
          <w:lang w:val="fr-FR" w:eastAsia="zh-TW"/>
        </w:rPr>
        <w:t xml:space="preserve"> simply adds that this all stems from the pity or sympathy that ought to be expressed towards the unawareness of the </w:t>
      </w:r>
      <w:r w:rsidR="00E727BA">
        <w:rPr>
          <w:rFonts w:eastAsia="新細明體" w:cs="Times New Roman"/>
          <w:lang w:val="fr-FR" w:eastAsia="zh-TW"/>
        </w:rPr>
        <w:t>culprit (</w:t>
      </w:r>
      <w:r w:rsidR="00E727BA" w:rsidRPr="00E727BA">
        <w:rPr>
          <w:rFonts w:eastAsia="新細明體" w:cs="Times New Roman"/>
          <w:i/>
          <w:lang w:val="fr-FR" w:eastAsia="zh-TW"/>
        </w:rPr>
        <w:t>min qi xian yu buzhi ye</w:t>
      </w:r>
      <w:r w:rsidR="00E727BA">
        <w:rPr>
          <w:rFonts w:eastAsia="新細明體" w:cs="Times New Roman"/>
          <w:lang w:val="fr-FR" w:eastAsia="zh-TW"/>
        </w:rPr>
        <w:t xml:space="preserve"> </w:t>
      </w:r>
      <w:r w:rsidR="00E727BA">
        <w:rPr>
          <w:rFonts w:ascii="新細明體" w:eastAsia="新細明體" w:hAnsi="新細明體" w:cs="新細明體" w:hint="eastAsia"/>
          <w:lang w:val="fr-FR" w:eastAsia="zh-TW"/>
        </w:rPr>
        <w:t>憫其陷於不知也</w:t>
      </w:r>
      <w:r w:rsidR="00E727BA">
        <w:rPr>
          <w:rFonts w:eastAsia="新細明體" w:cs="Times New Roman"/>
          <w:lang w:val="fr-FR" w:eastAsia="zh-TW"/>
        </w:rPr>
        <w:t>)</w:t>
      </w:r>
      <w:r w:rsidR="00E727BA">
        <w:rPr>
          <w:rStyle w:val="Marquenotebasdepage"/>
          <w:rFonts w:eastAsia="新細明體" w:cs="Times New Roman"/>
          <w:lang w:val="fr-FR" w:eastAsia="zh-TW"/>
        </w:rPr>
        <w:footnoteReference w:id="30"/>
      </w:r>
      <w:r w:rsidR="00BB4D90">
        <w:rPr>
          <w:rFonts w:eastAsia="新細明體" w:cs="Times New Roman"/>
          <w:lang w:val="fr-FR" w:eastAsia="zh-TW"/>
        </w:rPr>
        <w:t xml:space="preserve"> – the latter thus appearing</w:t>
      </w:r>
      <w:r w:rsidR="00E727BA">
        <w:rPr>
          <w:rFonts w:eastAsia="新細明體" w:cs="Times New Roman"/>
          <w:lang w:val="fr-FR" w:eastAsia="zh-TW"/>
        </w:rPr>
        <w:t xml:space="preserve"> in the guise of an unfortunate actor of destiny.</w:t>
      </w:r>
    </w:p>
    <w:p w14:paraId="55BCEDBE" w14:textId="38305F14" w:rsidR="00BC34B2" w:rsidRDefault="00DD7F74" w:rsidP="001C6EAC">
      <w:pPr>
        <w:ind w:firstLine="284"/>
        <w:jc w:val="both"/>
        <w:rPr>
          <w:rFonts w:eastAsia="新細明體" w:cs="Times New Roman"/>
          <w:lang w:val="fr-FR" w:eastAsia="zh-TW"/>
        </w:rPr>
      </w:pPr>
      <w:r>
        <w:rPr>
          <w:rFonts w:eastAsia="新細明體" w:cs="Times New Roman"/>
          <w:lang w:val="fr-FR" w:eastAsia="zh-TW"/>
        </w:rPr>
        <w:t>What should we make of this apparent lack of interest for this notion, of its seeming lack of appeal to the late imperial jurists? Could it be that it</w:t>
      </w:r>
      <w:r w:rsidR="00B96FDB">
        <w:rPr>
          <w:rFonts w:eastAsia="新細明體" w:cs="Times New Roman"/>
          <w:lang w:val="fr-FR" w:eastAsia="zh-TW"/>
        </w:rPr>
        <w:t xml:space="preserve">s legal framing was </w:t>
      </w:r>
      <w:r>
        <w:rPr>
          <w:rFonts w:eastAsia="新細明體" w:cs="Times New Roman"/>
          <w:lang w:val="fr-FR" w:eastAsia="zh-TW"/>
        </w:rPr>
        <w:t xml:space="preserve">actually clear </w:t>
      </w:r>
      <w:r w:rsidR="00B96FDB">
        <w:rPr>
          <w:rFonts w:eastAsia="新細明體" w:cs="Times New Roman"/>
          <w:lang w:val="fr-FR" w:eastAsia="zh-TW"/>
        </w:rPr>
        <w:t xml:space="preserve">to all </w:t>
      </w:r>
      <w:r w:rsidR="00BB4D90">
        <w:rPr>
          <w:rFonts w:eastAsia="新細明體" w:cs="Times New Roman"/>
          <w:lang w:val="fr-FR" w:eastAsia="zh-TW"/>
        </w:rPr>
        <w:t xml:space="preserve">so </w:t>
      </w:r>
      <w:r w:rsidR="00B96FDB">
        <w:rPr>
          <w:rFonts w:eastAsia="新細明體" w:cs="Times New Roman"/>
          <w:lang w:val="fr-FR" w:eastAsia="zh-TW"/>
        </w:rPr>
        <w:t xml:space="preserve">that its use caused no serious concern? This is what the official commentary to the Qing Code seems to imply in its conclusion to </w:t>
      </w:r>
      <w:r w:rsidR="003F5E42">
        <w:rPr>
          <w:rFonts w:eastAsia="新細明體" w:cs="Times New Roman"/>
          <w:lang w:val="fr-FR" w:eastAsia="zh-TW"/>
        </w:rPr>
        <w:t xml:space="preserve">the </w:t>
      </w:r>
      <w:r w:rsidR="00B96FDB">
        <w:rPr>
          <w:rFonts w:eastAsia="新細明體" w:cs="Times New Roman"/>
          <w:lang w:val="fr-FR" w:eastAsia="zh-TW"/>
        </w:rPr>
        <w:t xml:space="preserve">passage devoted to the </w:t>
      </w:r>
      <w:r w:rsidR="00B96FDB" w:rsidRPr="00B96FDB">
        <w:rPr>
          <w:rFonts w:eastAsia="新細明體" w:cs="Times New Roman"/>
          <w:i/>
          <w:lang w:val="fr-FR" w:eastAsia="zh-TW"/>
        </w:rPr>
        <w:t>Ben</w:t>
      </w:r>
      <w:r w:rsidR="003F5E42">
        <w:rPr>
          <w:rFonts w:eastAsia="新細明體" w:cs="Times New Roman"/>
          <w:i/>
          <w:lang w:val="fr-FR" w:eastAsia="zh-TW"/>
        </w:rPr>
        <w:t>tiao</w:t>
      </w:r>
      <w:r w:rsidR="00B96FDB" w:rsidRPr="00B96FDB">
        <w:rPr>
          <w:rFonts w:eastAsia="新細明體" w:cs="Times New Roman"/>
          <w:i/>
          <w:lang w:val="fr-FR" w:eastAsia="zh-TW"/>
        </w:rPr>
        <w:t xml:space="preserve"> bie you zuiming</w:t>
      </w:r>
      <w:r w:rsidR="00B96FDB">
        <w:rPr>
          <w:rFonts w:eastAsia="新細明體" w:cs="Times New Roman"/>
          <w:lang w:val="fr-FR" w:eastAsia="zh-TW"/>
        </w:rPr>
        <w:t xml:space="preserve"> statute: “</w:t>
      </w:r>
      <w:r w:rsidR="00AF2F24">
        <w:rPr>
          <w:rFonts w:eastAsia="新細明體" w:cs="Times New Roman"/>
          <w:lang w:val="fr-FR" w:eastAsia="zh-TW"/>
        </w:rPr>
        <w:t>Just like in the case of the examples on brawls and thefts presented in t</w:t>
      </w:r>
      <w:r w:rsidR="00B96FDB">
        <w:rPr>
          <w:rFonts w:eastAsia="新細明體" w:cs="Times New Roman"/>
          <w:lang w:val="fr-FR" w:eastAsia="zh-TW"/>
        </w:rPr>
        <w:t xml:space="preserve">he </w:t>
      </w:r>
      <w:r w:rsidR="00631FE5">
        <w:rPr>
          <w:rFonts w:eastAsia="新細明體" w:cs="Times New Roman"/>
          <w:lang w:val="fr-FR" w:eastAsia="zh-TW"/>
        </w:rPr>
        <w:t>interlinear</w:t>
      </w:r>
      <w:r w:rsidR="00B96FDB">
        <w:rPr>
          <w:rFonts w:eastAsia="新細明體" w:cs="Times New Roman"/>
          <w:lang w:val="fr-FR" w:eastAsia="zh-TW"/>
        </w:rPr>
        <w:t xml:space="preserve"> note</w:t>
      </w:r>
      <w:r w:rsidR="00631FE5">
        <w:rPr>
          <w:rFonts w:eastAsia="新細明體" w:cs="Times New Roman"/>
          <w:lang w:val="fr-FR" w:eastAsia="zh-TW"/>
        </w:rPr>
        <w:t>s</w:t>
      </w:r>
      <w:r w:rsidR="00AF2F24">
        <w:rPr>
          <w:rFonts w:eastAsia="新細明體" w:cs="Times New Roman"/>
          <w:lang w:val="fr-FR" w:eastAsia="zh-TW"/>
        </w:rPr>
        <w:t>,</w:t>
      </w:r>
      <w:r w:rsidR="00B96FDB">
        <w:rPr>
          <w:rFonts w:eastAsia="新細明體" w:cs="Times New Roman"/>
          <w:lang w:val="fr-FR" w:eastAsia="zh-TW"/>
        </w:rPr>
        <w:t xml:space="preserve"> </w:t>
      </w:r>
      <w:r w:rsidR="00631FE5">
        <w:rPr>
          <w:rFonts w:eastAsia="新細明體" w:cs="Times New Roman"/>
          <w:lang w:val="fr-FR" w:eastAsia="zh-TW"/>
        </w:rPr>
        <w:t>if in all circumstances</w:t>
      </w:r>
      <w:r w:rsidR="00AF2F24">
        <w:rPr>
          <w:rFonts w:eastAsia="新細明體" w:cs="Times New Roman"/>
          <w:lang w:val="fr-FR" w:eastAsia="zh-TW"/>
        </w:rPr>
        <w:t xml:space="preserve"> the seriousness of a case </w:t>
      </w:r>
      <w:r w:rsidR="00631FE5">
        <w:rPr>
          <w:rFonts w:eastAsia="新細明體" w:cs="Times New Roman"/>
          <w:lang w:val="fr-FR" w:eastAsia="zh-TW"/>
        </w:rPr>
        <w:t xml:space="preserve">is </w:t>
      </w:r>
      <w:r w:rsidR="00AF2F24">
        <w:rPr>
          <w:rFonts w:eastAsia="新細明體" w:cs="Times New Roman"/>
          <w:lang w:val="fr-FR" w:eastAsia="zh-TW"/>
        </w:rPr>
        <w:t>thoroughly evaluated</w:t>
      </w:r>
      <w:r w:rsidR="00631FE5">
        <w:rPr>
          <w:rFonts w:eastAsia="新細明體" w:cs="Times New Roman"/>
          <w:lang w:val="fr-FR" w:eastAsia="zh-TW"/>
        </w:rPr>
        <w:t>,</w:t>
      </w:r>
      <w:r w:rsidR="00AF2F24">
        <w:rPr>
          <w:rFonts w:eastAsia="新細明體" w:cs="Times New Roman"/>
          <w:lang w:val="fr-FR" w:eastAsia="zh-TW"/>
        </w:rPr>
        <w:t xml:space="preserve"> the</w:t>
      </w:r>
      <w:r w:rsidR="00631FE5">
        <w:rPr>
          <w:rFonts w:eastAsia="新細明體" w:cs="Times New Roman"/>
          <w:lang w:val="fr-FR" w:eastAsia="zh-TW"/>
        </w:rPr>
        <w:t xml:space="preserve"> correct [judgement] will then be reached</w:t>
      </w:r>
      <w:r w:rsidR="003F5E42">
        <w:rPr>
          <w:rFonts w:eastAsia="新細明體" w:cs="Times New Roman"/>
          <w:lang w:val="fr-FR" w:eastAsia="zh-TW"/>
        </w:rPr>
        <w:t>”</w:t>
      </w:r>
      <w:r w:rsidR="00631FE5">
        <w:rPr>
          <w:rFonts w:eastAsia="新細明體" w:cs="Times New Roman"/>
          <w:lang w:val="fr-FR" w:eastAsia="zh-TW"/>
        </w:rPr>
        <w:t xml:space="preserve"> (</w:t>
      </w:r>
      <w:r w:rsidR="00631FE5" w:rsidRPr="00631FE5">
        <w:rPr>
          <w:rFonts w:eastAsia="新細明體" w:cs="Times New Roman"/>
          <w:i/>
          <w:lang w:val="fr-FR" w:eastAsia="zh-TW"/>
        </w:rPr>
        <w:t>ru xiaozhu suo yin douou qiedao deng jie quan qingshi zhi qingzhong er wu de qi zhong zhe ye</w:t>
      </w:r>
      <w:r w:rsidR="00631FE5">
        <w:rPr>
          <w:rFonts w:eastAsia="新細明體" w:cs="Times New Roman"/>
          <w:lang w:val="fr-FR" w:eastAsia="zh-TW"/>
        </w:rPr>
        <w:t xml:space="preserve"> </w:t>
      </w:r>
      <w:r w:rsidR="00631FE5">
        <w:rPr>
          <w:rFonts w:ascii="新細明體" w:eastAsia="新細明體" w:hAnsi="新細明體" w:cs="新細明體" w:hint="eastAsia"/>
          <w:lang w:val="fr-FR" w:eastAsia="zh-TW"/>
        </w:rPr>
        <w:t>如小註所引鬥毆竊盜等類皆權情事之輕重而務得其中者也</w:t>
      </w:r>
      <w:r w:rsidR="00631FE5">
        <w:rPr>
          <w:rFonts w:eastAsia="新細明體" w:cs="Times New Roman"/>
          <w:lang w:val="fr-FR" w:eastAsia="zh-TW"/>
        </w:rPr>
        <w:t>)</w:t>
      </w:r>
      <w:r w:rsidR="003F5E42">
        <w:rPr>
          <w:rStyle w:val="Marquenotebasdepage"/>
          <w:rFonts w:eastAsia="新細明體" w:cs="Times New Roman"/>
          <w:lang w:val="fr-FR" w:eastAsia="zh-TW"/>
        </w:rPr>
        <w:footnoteReference w:id="31"/>
      </w:r>
      <w:r w:rsidR="003F5E42">
        <w:rPr>
          <w:rFonts w:eastAsia="新細明體" w:cs="Times New Roman"/>
          <w:lang w:val="fr-FR" w:eastAsia="zh-TW"/>
        </w:rPr>
        <w:t xml:space="preserve">. </w:t>
      </w:r>
      <w:r w:rsidR="00BB4D90">
        <w:rPr>
          <w:rFonts w:eastAsia="新細明體" w:cs="Times New Roman"/>
          <w:lang w:val="fr-FR" w:eastAsia="zh-TW"/>
        </w:rPr>
        <w:t>I</w:t>
      </w:r>
      <w:r w:rsidR="003F5E42">
        <w:rPr>
          <w:rFonts w:eastAsia="新細明體" w:cs="Times New Roman"/>
          <w:lang w:val="fr-FR" w:eastAsia="zh-TW"/>
        </w:rPr>
        <w:t xml:space="preserve">t could also be that this notion, and </w:t>
      </w:r>
      <w:r w:rsidR="00BB4D90">
        <w:rPr>
          <w:rFonts w:eastAsia="新細明體" w:cs="Times New Roman"/>
          <w:lang w:val="fr-FR" w:eastAsia="zh-TW"/>
        </w:rPr>
        <w:t xml:space="preserve">possibly even </w:t>
      </w:r>
      <w:r w:rsidR="00D804C4">
        <w:rPr>
          <w:rFonts w:eastAsia="新細明體" w:cs="Times New Roman"/>
          <w:lang w:val="fr-FR" w:eastAsia="zh-TW"/>
        </w:rPr>
        <w:t>the whole statute</w:t>
      </w:r>
      <w:r w:rsidR="003F5E42">
        <w:rPr>
          <w:rFonts w:eastAsia="新細明體" w:cs="Times New Roman"/>
          <w:lang w:val="fr-FR" w:eastAsia="zh-TW"/>
        </w:rPr>
        <w:t xml:space="preserve">, were actually marginal ones </w:t>
      </w:r>
      <w:r w:rsidR="00BB4D90">
        <w:rPr>
          <w:rFonts w:eastAsia="新細明體" w:cs="Times New Roman"/>
          <w:lang w:val="fr-FR" w:eastAsia="zh-TW"/>
        </w:rPr>
        <w:t xml:space="preserve">in traditional </w:t>
      </w:r>
      <w:r w:rsidR="003F5E42">
        <w:rPr>
          <w:rFonts w:eastAsia="新細明體" w:cs="Times New Roman"/>
          <w:lang w:val="fr-FR" w:eastAsia="zh-TW"/>
        </w:rPr>
        <w:t xml:space="preserve">China’s </w:t>
      </w:r>
      <w:r w:rsidR="00BB4D90">
        <w:rPr>
          <w:rFonts w:eastAsia="新細明體" w:cs="Times New Roman"/>
          <w:lang w:val="fr-FR" w:eastAsia="zh-TW"/>
        </w:rPr>
        <w:t>legal framework.</w:t>
      </w:r>
      <w:r w:rsidR="003F5E42">
        <w:rPr>
          <w:rFonts w:eastAsia="新細明體" w:cs="Times New Roman"/>
          <w:lang w:val="fr-FR" w:eastAsia="zh-TW"/>
        </w:rPr>
        <w:t xml:space="preserve"> </w:t>
      </w:r>
      <w:r w:rsidR="00D804C4">
        <w:rPr>
          <w:rFonts w:eastAsia="新細明體" w:cs="Times New Roman"/>
          <w:lang w:val="fr-FR" w:eastAsia="zh-TW"/>
        </w:rPr>
        <w:t>In order to get a better sens of these issues, I propose we now turn our gazes toward actual judicial practice.</w:t>
      </w:r>
    </w:p>
    <w:p w14:paraId="5069BE19" w14:textId="77777777" w:rsidR="00D804C4" w:rsidRDefault="00D804C4" w:rsidP="001C6EAC">
      <w:pPr>
        <w:jc w:val="both"/>
        <w:rPr>
          <w:rFonts w:eastAsia="新細明體" w:cs="Times New Roman"/>
          <w:lang w:val="fr-FR" w:eastAsia="zh-TW"/>
        </w:rPr>
      </w:pPr>
    </w:p>
    <w:p w14:paraId="03AEAD16" w14:textId="2D39EA99" w:rsidR="00D804C4" w:rsidRPr="001C6EAC" w:rsidRDefault="00D804C4" w:rsidP="001C6EAC">
      <w:pPr>
        <w:jc w:val="both"/>
        <w:rPr>
          <w:rFonts w:eastAsia="新細明體" w:cs="Times New Roman"/>
          <w:b/>
          <w:lang w:val="fr-FR" w:eastAsia="zh-TW"/>
        </w:rPr>
      </w:pPr>
      <w:r w:rsidRPr="001C6EAC">
        <w:rPr>
          <w:rFonts w:eastAsia="新細明體" w:cs="Times New Roman"/>
          <w:b/>
          <w:i/>
          <w:lang w:val="fr-FR" w:eastAsia="zh-TW"/>
        </w:rPr>
        <w:t>Fanshi bu zhi</w:t>
      </w:r>
      <w:r w:rsidRPr="001C6EAC">
        <w:rPr>
          <w:rFonts w:eastAsia="新細明體" w:cs="Times New Roman"/>
          <w:b/>
          <w:lang w:val="fr-FR" w:eastAsia="zh-TW"/>
        </w:rPr>
        <w:t xml:space="preserve"> </w:t>
      </w:r>
      <w:r w:rsidR="00BB4D90" w:rsidRPr="001C6EAC">
        <w:rPr>
          <w:rFonts w:eastAsia="新細明體" w:cs="Times New Roman"/>
          <w:b/>
          <w:lang w:val="fr-FR" w:eastAsia="zh-TW"/>
        </w:rPr>
        <w:t>in</w:t>
      </w:r>
      <w:r w:rsidRPr="001C6EAC">
        <w:rPr>
          <w:rFonts w:eastAsia="新細明體" w:cs="Times New Roman"/>
          <w:b/>
          <w:lang w:val="fr-FR" w:eastAsia="zh-TW"/>
        </w:rPr>
        <w:t xml:space="preserve"> </w:t>
      </w:r>
      <w:r w:rsidR="00BB4D90" w:rsidRPr="001C6EAC">
        <w:rPr>
          <w:rFonts w:eastAsia="新細明體" w:cs="Times New Roman"/>
          <w:b/>
          <w:lang w:val="fr-FR" w:eastAsia="zh-TW"/>
        </w:rPr>
        <w:t>practice</w:t>
      </w:r>
    </w:p>
    <w:p w14:paraId="0E6AE850" w14:textId="0C7BE9B9" w:rsidR="005D5C9E" w:rsidRDefault="005D5C9E" w:rsidP="001C6EAC">
      <w:pPr>
        <w:jc w:val="both"/>
        <w:rPr>
          <w:rFonts w:eastAsia="新細明體" w:cs="Times New Roman"/>
          <w:lang w:val="fr-FR" w:eastAsia="zh-TW"/>
        </w:rPr>
      </w:pPr>
    </w:p>
    <w:p w14:paraId="6B767F1E" w14:textId="654D5F2E" w:rsidR="001C6EAC" w:rsidRDefault="001C6EAC" w:rsidP="001C6EAC">
      <w:pPr>
        <w:jc w:val="both"/>
        <w:rPr>
          <w:rFonts w:eastAsia="新細明體" w:cs="Times New Roman"/>
          <w:i/>
          <w:lang w:val="fr-FR" w:eastAsia="zh-TW"/>
        </w:rPr>
      </w:pPr>
      <w:r w:rsidRPr="001C6EAC">
        <w:rPr>
          <w:rFonts w:eastAsia="新細明體" w:cs="Times New Roman"/>
          <w:i/>
          <w:lang w:val="fr-FR" w:eastAsia="zh-TW"/>
        </w:rPr>
        <w:t xml:space="preserve">The notion </w:t>
      </w:r>
      <w:r>
        <w:rPr>
          <w:rFonts w:eastAsia="新細明體" w:cs="Times New Roman"/>
          <w:i/>
          <w:lang w:val="fr-FR" w:eastAsia="zh-TW"/>
        </w:rPr>
        <w:t xml:space="preserve">and its links to the rest of </w:t>
      </w:r>
      <w:r w:rsidRPr="001C6EAC">
        <w:rPr>
          <w:rFonts w:eastAsia="新細明體" w:cs="Times New Roman"/>
          <w:i/>
          <w:lang w:val="fr-FR" w:eastAsia="zh-TW"/>
        </w:rPr>
        <w:t>the Code</w:t>
      </w:r>
    </w:p>
    <w:p w14:paraId="5331536C" w14:textId="77777777" w:rsidR="001C6EAC" w:rsidRPr="001C6EAC" w:rsidRDefault="001C6EAC" w:rsidP="001C6EAC">
      <w:pPr>
        <w:jc w:val="both"/>
        <w:rPr>
          <w:rFonts w:eastAsia="新細明體" w:cs="Times New Roman"/>
          <w:lang w:val="fr-FR" w:eastAsia="zh-TW"/>
        </w:rPr>
      </w:pPr>
    </w:p>
    <w:p w14:paraId="1580CC69" w14:textId="77777777" w:rsidR="00E84CDC" w:rsidRDefault="00E91C8B" w:rsidP="001C6EAC">
      <w:pPr>
        <w:ind w:firstLine="284"/>
        <w:jc w:val="both"/>
        <w:rPr>
          <w:rFonts w:eastAsia="新細明體" w:cs="Times New Roman"/>
          <w:lang w:val="fr-FR" w:eastAsia="zh-TW"/>
        </w:rPr>
      </w:pPr>
      <w:r>
        <w:rPr>
          <w:rFonts w:eastAsia="新細明體" w:cs="Times New Roman"/>
          <w:lang w:val="fr-FR" w:eastAsia="zh-TW"/>
        </w:rPr>
        <w:t xml:space="preserve">Before turning to the presentation and analysis of some cases during the adjudication of which the notion was called into play, it may be useful to provide a few comments on </w:t>
      </w:r>
      <w:r w:rsidR="00B9129B">
        <w:rPr>
          <w:rFonts w:eastAsia="新細明體" w:cs="Times New Roman"/>
          <w:lang w:val="fr-FR" w:eastAsia="zh-TW"/>
        </w:rPr>
        <w:t>its “pedigree” and on its articulation with other notions and</w:t>
      </w:r>
      <w:r w:rsidR="00E84CDC">
        <w:rPr>
          <w:rFonts w:eastAsia="新細明體" w:cs="Times New Roman"/>
          <w:lang w:val="fr-FR" w:eastAsia="zh-TW"/>
        </w:rPr>
        <w:t xml:space="preserve"> statutes included in the Code.</w:t>
      </w:r>
    </w:p>
    <w:p w14:paraId="365EF6E4" w14:textId="40D0F231" w:rsidR="005D5C9E" w:rsidRDefault="00E84CDC" w:rsidP="001C6EAC">
      <w:pPr>
        <w:ind w:firstLine="284"/>
        <w:jc w:val="both"/>
        <w:rPr>
          <w:rFonts w:eastAsia="新細明體" w:cs="Times New Roman"/>
          <w:lang w:val="fr-FR" w:eastAsia="zh-TW"/>
        </w:rPr>
      </w:pPr>
      <w:r>
        <w:rPr>
          <w:rFonts w:eastAsia="新細明體" w:cs="Times New Roman"/>
          <w:lang w:val="fr-FR" w:eastAsia="zh-TW"/>
        </w:rPr>
        <w:t>F</w:t>
      </w:r>
      <w:r w:rsidR="00B9129B">
        <w:rPr>
          <w:rFonts w:eastAsia="新細明體" w:cs="Times New Roman"/>
          <w:lang w:val="fr-FR" w:eastAsia="zh-TW"/>
        </w:rPr>
        <w:t xml:space="preserve">irst, it </w:t>
      </w:r>
      <w:r w:rsidR="0067164C">
        <w:rPr>
          <w:rFonts w:eastAsia="新細明體" w:cs="Times New Roman"/>
          <w:lang w:val="fr-FR" w:eastAsia="zh-TW"/>
        </w:rPr>
        <w:t>should</w:t>
      </w:r>
      <w:r w:rsidR="00B9129B">
        <w:rPr>
          <w:rFonts w:eastAsia="新細明體" w:cs="Times New Roman"/>
          <w:lang w:val="fr-FR" w:eastAsia="zh-TW"/>
        </w:rPr>
        <w:t xml:space="preserve"> be noted that it already appears in what is</w:t>
      </w:r>
      <w:r w:rsidR="00540184">
        <w:rPr>
          <w:rFonts w:eastAsia="新細明體" w:cs="Times New Roman"/>
          <w:lang w:val="fr-FR" w:eastAsia="zh-TW"/>
        </w:rPr>
        <w:t xml:space="preserve"> considered to be the first exta</w:t>
      </w:r>
      <w:r w:rsidR="00B9129B">
        <w:rPr>
          <w:rFonts w:eastAsia="新細明體" w:cs="Times New Roman"/>
          <w:lang w:val="fr-FR" w:eastAsia="zh-TW"/>
        </w:rPr>
        <w:t xml:space="preserve">nt </w:t>
      </w:r>
      <w:r>
        <w:rPr>
          <w:rFonts w:eastAsia="新細明體" w:cs="Times New Roman"/>
          <w:lang w:val="fr-FR" w:eastAsia="zh-TW"/>
        </w:rPr>
        <w:t>Chinese imperial code, that of the Tang dynasty (618-907)</w:t>
      </w:r>
      <w:r w:rsidR="00540184">
        <w:rPr>
          <w:rFonts w:eastAsia="新細明體" w:cs="Times New Roman"/>
          <w:lang w:val="fr-FR" w:eastAsia="zh-TW"/>
        </w:rPr>
        <w:t xml:space="preserve">, where </w:t>
      </w:r>
      <w:r>
        <w:rPr>
          <w:rFonts w:eastAsia="新細明體" w:cs="Times New Roman"/>
          <w:lang w:val="fr-FR" w:eastAsia="zh-TW"/>
        </w:rPr>
        <w:t xml:space="preserve">it is part of the statute entitled </w:t>
      </w:r>
      <w:r w:rsidRPr="00E84CDC">
        <w:rPr>
          <w:rFonts w:eastAsia="新細明體" w:cs="Times New Roman"/>
          <w:i/>
          <w:lang w:val="fr-FR" w:eastAsia="zh-TW"/>
        </w:rPr>
        <w:t>Bentiao bie you zhi</w:t>
      </w:r>
      <w:r>
        <w:rPr>
          <w:rFonts w:eastAsia="新細明體" w:cs="Times New Roman"/>
          <w:lang w:val="fr-FR" w:eastAsia="zh-TW"/>
        </w:rPr>
        <w:t xml:space="preserve"> </w:t>
      </w:r>
      <w:r>
        <w:rPr>
          <w:rFonts w:ascii="新細明體" w:eastAsia="新細明體" w:hAnsi="新細明體" w:cs="新細明體" w:hint="eastAsia"/>
          <w:lang w:val="fr-FR" w:eastAsia="zh-TW"/>
        </w:rPr>
        <w:t>本條別有制</w:t>
      </w:r>
      <w:r w:rsidR="00962D34">
        <w:rPr>
          <w:rStyle w:val="Marquenotebasdepage"/>
          <w:rFonts w:eastAsia="新細明體" w:cs="Times New Roman"/>
          <w:lang w:val="fr-FR" w:eastAsia="zh-TW"/>
        </w:rPr>
        <w:footnoteReference w:id="32"/>
      </w:r>
      <w:r>
        <w:rPr>
          <w:rFonts w:eastAsia="新細明體" w:cs="Times New Roman"/>
          <w:lang w:val="fr-FR" w:eastAsia="zh-TW"/>
        </w:rPr>
        <w:t xml:space="preserve">. </w:t>
      </w:r>
      <w:r w:rsidR="00540184">
        <w:rPr>
          <w:rFonts w:eastAsia="新細明體" w:cs="Times New Roman"/>
          <w:lang w:val="fr-FR" w:eastAsia="zh-TW"/>
        </w:rPr>
        <w:t>The proximity in phrasing with the Ming and Qing-era versions is evident, and not only in the statute’s title:</w:t>
      </w:r>
    </w:p>
    <w:p w14:paraId="24BE177D" w14:textId="77777777" w:rsidR="00540184" w:rsidRDefault="00540184" w:rsidP="001C6EAC">
      <w:pPr>
        <w:jc w:val="both"/>
        <w:rPr>
          <w:rFonts w:eastAsia="新細明體" w:cs="Times New Roman"/>
          <w:lang w:val="fr-FR" w:eastAsia="zh-TW"/>
        </w:rPr>
      </w:pPr>
    </w:p>
    <w:p w14:paraId="63FA0FC5" w14:textId="6D1BBB64" w:rsidR="00540184" w:rsidRPr="004A2639" w:rsidRDefault="00540184" w:rsidP="001C6EAC">
      <w:pPr>
        <w:ind w:firstLine="567"/>
        <w:jc w:val="both"/>
        <w:rPr>
          <w:rFonts w:eastAsia="新細明體" w:cs="Times New Roman"/>
          <w:sz w:val="20"/>
          <w:szCs w:val="20"/>
          <w:lang w:val="fr-FR" w:eastAsia="zh-TW"/>
        </w:rPr>
      </w:pPr>
      <w:r w:rsidRPr="004A2639">
        <w:rPr>
          <w:rFonts w:ascii="新細明體" w:eastAsia="新細明體" w:hAnsi="新細明體" w:cs="新細明體" w:hint="eastAsia"/>
          <w:sz w:val="20"/>
          <w:szCs w:val="20"/>
          <w:lang w:eastAsia="zh-TW"/>
        </w:rPr>
        <w:t>本條別有制</w:t>
      </w:r>
      <w:r w:rsidRPr="004A2639">
        <w:rPr>
          <w:rFonts w:eastAsia="新細明體" w:cs="Times New Roman"/>
          <w:sz w:val="20"/>
          <w:szCs w:val="20"/>
          <w:lang w:val="fr-FR" w:eastAsia="zh-TW"/>
        </w:rPr>
        <w:t>:</w:t>
      </w:r>
    </w:p>
    <w:p w14:paraId="62A7481F" w14:textId="77777777" w:rsidR="004A2639" w:rsidRPr="004A2639" w:rsidRDefault="00540184" w:rsidP="001C6EAC">
      <w:pPr>
        <w:ind w:firstLine="567"/>
        <w:jc w:val="both"/>
        <w:rPr>
          <w:rFonts w:ascii="新細明體" w:eastAsia="新細明體" w:hAnsi="新細明體" w:cs="新細明體"/>
          <w:sz w:val="20"/>
          <w:szCs w:val="20"/>
          <w:lang w:eastAsia="zh-TW"/>
        </w:rPr>
      </w:pPr>
      <w:r w:rsidRPr="004A2639">
        <w:rPr>
          <w:rFonts w:ascii="新細明體" w:eastAsia="新細明體" w:hAnsi="新細明體" w:cs="新細明體" w:hint="eastAsia"/>
          <w:sz w:val="20"/>
          <w:szCs w:val="20"/>
          <w:lang w:eastAsia="zh-TW"/>
        </w:rPr>
        <w:t>諸</w:t>
      </w:r>
      <w:r w:rsidR="004A2639" w:rsidRPr="004A2639">
        <w:rPr>
          <w:rFonts w:ascii="新細明體" w:eastAsia="新細明體" w:hAnsi="新細明體" w:cs="新細明體" w:hint="eastAsia"/>
          <w:sz w:val="20"/>
          <w:szCs w:val="20"/>
          <w:lang w:eastAsia="zh-TW"/>
        </w:rPr>
        <w:t>本條別有制，與例不同者，依本條</w:t>
      </w:r>
    </w:p>
    <w:p w14:paraId="39438568" w14:textId="77777777" w:rsidR="004A2639" w:rsidRPr="004A2639" w:rsidRDefault="004A2639" w:rsidP="001C6EAC">
      <w:pPr>
        <w:ind w:firstLine="567"/>
        <w:jc w:val="both"/>
        <w:rPr>
          <w:rFonts w:ascii="新細明體" w:eastAsia="新細明體" w:hAnsi="新細明體" w:cs="新細明體"/>
          <w:sz w:val="20"/>
          <w:szCs w:val="20"/>
          <w:lang w:eastAsia="zh-TW"/>
        </w:rPr>
      </w:pPr>
      <w:r w:rsidRPr="004A2639">
        <w:rPr>
          <w:rFonts w:ascii="新細明體" w:eastAsia="新細明體" w:hAnsi="新細明體" w:cs="新細明體" w:hint="eastAsia"/>
          <w:sz w:val="20"/>
          <w:szCs w:val="20"/>
          <w:lang w:eastAsia="zh-TW"/>
        </w:rPr>
        <w:t>即當條雖有罪名，所為重者自從重。</w:t>
      </w:r>
    </w:p>
    <w:p w14:paraId="29DD894E" w14:textId="6E61C603" w:rsidR="00540184" w:rsidRPr="00D8147F" w:rsidRDefault="00540184" w:rsidP="001C6EAC">
      <w:pPr>
        <w:ind w:firstLine="567"/>
        <w:jc w:val="both"/>
        <w:rPr>
          <w:rFonts w:eastAsia="新細明體" w:cs="Times New Roman"/>
          <w:lang w:val="fr-FR" w:eastAsia="zh-TW"/>
        </w:rPr>
      </w:pPr>
      <w:r w:rsidRPr="004A2639">
        <w:rPr>
          <w:rFonts w:ascii="新細明體" w:eastAsia="新細明體" w:hAnsi="新細明體" w:cs="新細明體" w:hint="eastAsia"/>
          <w:sz w:val="20"/>
          <w:szCs w:val="20"/>
          <w:lang w:eastAsia="zh-TW"/>
        </w:rPr>
        <w:t>其本應重而犯時不知者，依凡論；本應輕者，聽從本。</w:t>
      </w:r>
      <w:r w:rsidR="00D8147F" w:rsidRPr="004A2639">
        <w:rPr>
          <w:rStyle w:val="Marquenotebasdepage"/>
          <w:rFonts w:ascii="新細明體" w:eastAsia="新細明體" w:hAnsi="新細明體" w:cs="新細明體"/>
          <w:sz w:val="20"/>
          <w:szCs w:val="20"/>
          <w:lang w:eastAsia="zh-TW"/>
        </w:rPr>
        <w:footnoteReference w:id="33"/>
      </w:r>
    </w:p>
    <w:p w14:paraId="5BF0D726" w14:textId="77777777" w:rsidR="00540184" w:rsidRDefault="00540184" w:rsidP="001C6EAC">
      <w:pPr>
        <w:jc w:val="both"/>
        <w:rPr>
          <w:rFonts w:eastAsia="新細明體" w:cs="Times New Roman"/>
          <w:lang w:val="fr-FR" w:eastAsia="zh-TW"/>
        </w:rPr>
      </w:pPr>
    </w:p>
    <w:p w14:paraId="41A99D3A" w14:textId="4B1D9FC8" w:rsidR="00434C95" w:rsidRDefault="004A2639" w:rsidP="001C6EAC">
      <w:pPr>
        <w:jc w:val="both"/>
        <w:rPr>
          <w:rFonts w:eastAsia="新細明體" w:cs="Times New Roman"/>
          <w:lang w:val="fr-FR" w:eastAsia="zh-TW"/>
        </w:rPr>
      </w:pPr>
      <w:r>
        <w:rPr>
          <w:rFonts w:eastAsia="新細明體" w:cs="Times New Roman"/>
          <w:lang w:val="fr-FR" w:eastAsia="zh-TW"/>
        </w:rPr>
        <w:t xml:space="preserve">Obviously, </w:t>
      </w:r>
      <w:r w:rsidR="00E0586C">
        <w:rPr>
          <w:rFonts w:eastAsia="新細明體" w:cs="Times New Roman"/>
          <w:lang w:val="fr-FR" w:eastAsia="zh-TW"/>
        </w:rPr>
        <w:t xml:space="preserve">the principles expounded </w:t>
      </w:r>
      <w:r w:rsidR="00CA3D48">
        <w:rPr>
          <w:rFonts w:eastAsia="新細明體" w:cs="Times New Roman"/>
          <w:lang w:val="fr-FR" w:eastAsia="zh-TW"/>
        </w:rPr>
        <w:t>through this specific article</w:t>
      </w:r>
      <w:r w:rsidR="00E0586C">
        <w:rPr>
          <w:rFonts w:eastAsia="新細明體" w:cs="Times New Roman"/>
          <w:lang w:val="fr-FR" w:eastAsia="zh-TW"/>
        </w:rPr>
        <w:t xml:space="preserve"> were considered important </w:t>
      </w:r>
      <w:r w:rsidR="005C7951">
        <w:rPr>
          <w:rFonts w:eastAsia="新細明體" w:cs="Times New Roman"/>
          <w:lang w:val="fr-FR" w:eastAsia="zh-TW"/>
        </w:rPr>
        <w:t>quite</w:t>
      </w:r>
      <w:r w:rsidR="00E0586C">
        <w:rPr>
          <w:rFonts w:eastAsia="新細明體" w:cs="Times New Roman"/>
          <w:lang w:val="fr-FR" w:eastAsia="zh-TW"/>
        </w:rPr>
        <w:t xml:space="preserve"> early </w:t>
      </w:r>
      <w:r w:rsidR="005C7951">
        <w:rPr>
          <w:rFonts w:eastAsia="新細明體" w:cs="Times New Roman"/>
          <w:lang w:val="fr-FR" w:eastAsia="zh-TW"/>
        </w:rPr>
        <w:t xml:space="preserve">on </w:t>
      </w:r>
      <w:r w:rsidR="00D4263B">
        <w:rPr>
          <w:rFonts w:eastAsia="新細明體" w:cs="Times New Roman"/>
          <w:lang w:val="fr-FR" w:eastAsia="zh-TW"/>
        </w:rPr>
        <w:t>am</w:t>
      </w:r>
      <w:r w:rsidR="00E0586C">
        <w:rPr>
          <w:rFonts w:eastAsia="新細明體" w:cs="Times New Roman"/>
          <w:lang w:val="fr-FR" w:eastAsia="zh-TW"/>
        </w:rPr>
        <w:t>on</w:t>
      </w:r>
      <w:r w:rsidR="00D4263B">
        <w:rPr>
          <w:rFonts w:eastAsia="新細明體" w:cs="Times New Roman"/>
          <w:lang w:val="fr-FR" w:eastAsia="zh-TW"/>
        </w:rPr>
        <w:t>g</w:t>
      </w:r>
      <w:r w:rsidR="00E0586C">
        <w:rPr>
          <w:rFonts w:eastAsia="新細明體" w:cs="Times New Roman"/>
          <w:lang w:val="fr-FR" w:eastAsia="zh-TW"/>
        </w:rPr>
        <w:t xml:space="preserve"> China’s traditional </w:t>
      </w:r>
      <w:r w:rsidR="00D4263B">
        <w:rPr>
          <w:rFonts w:eastAsia="新細明體" w:cs="Times New Roman"/>
          <w:lang w:val="fr-FR" w:eastAsia="zh-TW"/>
        </w:rPr>
        <w:t>jurists</w:t>
      </w:r>
      <w:r w:rsidR="00E0586C">
        <w:rPr>
          <w:rFonts w:eastAsia="新細明體" w:cs="Times New Roman"/>
          <w:lang w:val="fr-FR" w:eastAsia="zh-TW"/>
        </w:rPr>
        <w:t xml:space="preserve">. </w:t>
      </w:r>
      <w:r w:rsidR="00D4263B">
        <w:rPr>
          <w:rFonts w:eastAsia="新細明體" w:cs="Times New Roman"/>
          <w:lang w:val="fr-FR" w:eastAsia="zh-TW"/>
        </w:rPr>
        <w:t xml:space="preserve">Two remarks, here: first of all, as Xue Yunsheng underlines, contrary to its Ming and Qing counterpart, the phrasing of the second paragraph in the Tang Code does not make any allusion to </w:t>
      </w:r>
      <w:r w:rsidR="005C7951">
        <w:rPr>
          <w:rFonts w:eastAsia="新細明體" w:cs="Times New Roman"/>
          <w:lang w:val="fr-FR" w:eastAsia="zh-TW"/>
        </w:rPr>
        <w:t>the culprit trying to avoid</w:t>
      </w:r>
      <w:r w:rsidR="00D4263B">
        <w:rPr>
          <w:rFonts w:eastAsia="新細明體" w:cs="Times New Roman"/>
          <w:lang w:val="fr-FR" w:eastAsia="zh-TW"/>
        </w:rPr>
        <w:t xml:space="preserve"> </w:t>
      </w:r>
      <w:r w:rsidR="005C7951">
        <w:rPr>
          <w:rFonts w:eastAsia="新細明體" w:cs="Times New Roman"/>
          <w:lang w:val="fr-FR" w:eastAsia="zh-TW"/>
        </w:rPr>
        <w:t>being indicted for a more serious crime</w:t>
      </w:r>
      <w:r w:rsidR="00D4263B">
        <w:rPr>
          <w:rFonts w:eastAsia="新細明體" w:cs="Times New Roman"/>
          <w:lang w:val="fr-FR" w:eastAsia="zh-TW"/>
        </w:rPr>
        <w:t>. It simply consider</w:t>
      </w:r>
      <w:r w:rsidR="005C7951">
        <w:rPr>
          <w:rFonts w:eastAsia="新細明體" w:cs="Times New Roman"/>
          <w:lang w:val="fr-FR" w:eastAsia="zh-TW"/>
        </w:rPr>
        <w:t>s</w:t>
      </w:r>
      <w:r w:rsidR="00D4263B">
        <w:rPr>
          <w:rFonts w:eastAsia="新細明體" w:cs="Times New Roman"/>
          <w:lang w:val="fr-FR" w:eastAsia="zh-TW"/>
        </w:rPr>
        <w:t xml:space="preserve"> the act itself, calling for a stricter punishment if its nature was more serious</w:t>
      </w:r>
      <w:r w:rsidR="005C7951">
        <w:rPr>
          <w:rFonts w:eastAsia="新細明體" w:cs="Times New Roman"/>
          <w:lang w:val="fr-FR" w:eastAsia="zh-TW"/>
        </w:rPr>
        <w:t xml:space="preserve"> than that provided for in the specific article</w:t>
      </w:r>
      <w:r w:rsidR="00D4263B">
        <w:rPr>
          <w:rFonts w:eastAsia="新細明體" w:cs="Times New Roman"/>
          <w:lang w:val="fr-FR" w:eastAsia="zh-TW"/>
        </w:rPr>
        <w:t xml:space="preserve"> (</w:t>
      </w:r>
      <w:r w:rsidR="00D4263B" w:rsidRPr="005C7951">
        <w:rPr>
          <w:rFonts w:eastAsia="新細明體" w:cs="Times New Roman"/>
          <w:i/>
          <w:lang w:val="fr-FR" w:eastAsia="zh-TW"/>
        </w:rPr>
        <w:t>wei Tanglü suo wei zhongzhe zi cong zhong, xi jiu benshi qubie cong zhong lun</w:t>
      </w:r>
      <w:r w:rsidR="00D4263B">
        <w:rPr>
          <w:rFonts w:eastAsia="新細明體" w:cs="Times New Roman"/>
          <w:lang w:val="fr-FR" w:eastAsia="zh-TW"/>
        </w:rPr>
        <w:t xml:space="preserve"> </w:t>
      </w:r>
      <w:r w:rsidR="00D4263B">
        <w:rPr>
          <w:rFonts w:ascii="新細明體" w:eastAsia="新細明體" w:hAnsi="新細明體" w:cs="新細明體" w:hint="eastAsia"/>
          <w:lang w:val="fr-FR" w:eastAsia="zh-TW"/>
        </w:rPr>
        <w:t>惟唐律所為從重者自從中，係就本事區別從重論</w:t>
      </w:r>
      <w:r w:rsidR="00D4263B">
        <w:rPr>
          <w:rFonts w:eastAsia="新細明體" w:cs="Times New Roman"/>
          <w:lang w:val="fr-FR" w:eastAsia="zh-TW"/>
        </w:rPr>
        <w:t>).</w:t>
      </w:r>
      <w:r w:rsidR="005C7951">
        <w:rPr>
          <w:rFonts w:eastAsia="新細明體" w:cs="Times New Roman"/>
          <w:lang w:val="fr-FR" w:eastAsia="zh-TW"/>
        </w:rPr>
        <w:t xml:space="preserve"> </w:t>
      </w:r>
      <w:r w:rsidR="00F54F3F">
        <w:rPr>
          <w:rFonts w:eastAsia="新細明體" w:cs="Times New Roman"/>
          <w:lang w:val="fr-FR" w:eastAsia="zh-TW"/>
        </w:rPr>
        <w:t xml:space="preserve">In a somehow characteristic way, </w:t>
      </w:r>
      <w:r w:rsidR="005C7951">
        <w:rPr>
          <w:rFonts w:eastAsia="新細明體" w:cs="Times New Roman"/>
          <w:lang w:val="fr-FR" w:eastAsia="zh-TW"/>
        </w:rPr>
        <w:t xml:space="preserve">Xue concludes </w:t>
      </w:r>
      <w:r w:rsidR="00F54F3F">
        <w:rPr>
          <w:rFonts w:eastAsia="新細明體" w:cs="Times New Roman"/>
          <w:lang w:val="fr-FR" w:eastAsia="zh-TW"/>
        </w:rPr>
        <w:t xml:space="preserve">with a prudent criticism of the Ming legislators, pointing to the fact that </w:t>
      </w:r>
      <w:r w:rsidR="005C7951">
        <w:rPr>
          <w:rFonts w:eastAsia="新細明體" w:cs="Times New Roman"/>
          <w:lang w:val="fr-FR" w:eastAsia="zh-TW"/>
        </w:rPr>
        <w:t xml:space="preserve">the addition of the term </w:t>
      </w:r>
      <w:r w:rsidR="005C7951" w:rsidRPr="005C7951">
        <w:rPr>
          <w:rFonts w:eastAsia="新細明體" w:cs="Times New Roman"/>
          <w:i/>
          <w:lang w:val="fr-FR" w:eastAsia="zh-TW"/>
        </w:rPr>
        <w:t>guibi</w:t>
      </w:r>
      <w:r w:rsidR="005C7951">
        <w:rPr>
          <w:rFonts w:eastAsia="新細明體" w:cs="Times New Roman"/>
          <w:lang w:val="fr-FR" w:eastAsia="zh-TW"/>
        </w:rPr>
        <w:t xml:space="preserve"> </w:t>
      </w:r>
      <w:r w:rsidR="005C7951">
        <w:rPr>
          <w:rFonts w:ascii="新細明體" w:eastAsia="新細明體" w:hAnsi="新細明體" w:cs="新細明體" w:hint="eastAsia"/>
          <w:lang w:val="fr-FR" w:eastAsia="zh-TW"/>
        </w:rPr>
        <w:t>規避</w:t>
      </w:r>
      <w:r w:rsidR="005C7951">
        <w:rPr>
          <w:rFonts w:eastAsia="新細明體" w:cs="Times New Roman"/>
          <w:lang w:val="fr-FR" w:eastAsia="zh-TW"/>
        </w:rPr>
        <w:t xml:space="preserve"> in the Ming version was enacted </w:t>
      </w:r>
      <w:r w:rsidR="00F54F3F">
        <w:rPr>
          <w:rFonts w:eastAsia="新細明體" w:cs="Times New Roman"/>
          <w:lang w:val="fr-FR" w:eastAsia="zh-TW"/>
        </w:rPr>
        <w:t xml:space="preserve">despite the fact that </w:t>
      </w:r>
      <w:r w:rsidR="005C7951">
        <w:rPr>
          <w:rFonts w:eastAsia="新細明體" w:cs="Times New Roman"/>
          <w:lang w:val="fr-FR" w:eastAsia="zh-TW"/>
        </w:rPr>
        <w:t>the Tang article</w:t>
      </w:r>
      <w:r w:rsidR="00F54F3F">
        <w:rPr>
          <w:rFonts w:eastAsia="新細明體" w:cs="Times New Roman"/>
          <w:lang w:val="fr-FR" w:eastAsia="zh-TW"/>
        </w:rPr>
        <w:t>, as glossed through the official commentary</w:t>
      </w:r>
      <w:r w:rsidR="005C7951">
        <w:rPr>
          <w:rFonts w:eastAsia="新細明體" w:cs="Times New Roman"/>
          <w:lang w:val="fr-FR" w:eastAsia="zh-TW"/>
        </w:rPr>
        <w:t xml:space="preserve"> </w:t>
      </w:r>
      <w:r w:rsidR="00F54F3F">
        <w:rPr>
          <w:rFonts w:eastAsia="新細明體" w:cs="Times New Roman"/>
          <w:lang w:val="fr-FR" w:eastAsia="zh-TW"/>
        </w:rPr>
        <w:t>(</w:t>
      </w:r>
      <w:r w:rsidR="00F54F3F" w:rsidRPr="00F54F3F">
        <w:rPr>
          <w:rFonts w:eastAsia="新細明體" w:cs="Times New Roman"/>
          <w:i/>
          <w:lang w:val="fr-FR" w:eastAsia="zh-TW"/>
        </w:rPr>
        <w:t>Shuyi</w:t>
      </w:r>
      <w:r w:rsidR="00F54F3F">
        <w:rPr>
          <w:rFonts w:eastAsia="新細明體" w:cs="Times New Roman"/>
          <w:lang w:val="fr-FR" w:eastAsia="zh-TW"/>
        </w:rPr>
        <w:t xml:space="preserve"> </w:t>
      </w:r>
      <w:r w:rsidR="00F54F3F">
        <w:rPr>
          <w:rFonts w:ascii="新細明體" w:eastAsia="新細明體" w:hAnsi="新細明體" w:cs="新細明體" w:hint="eastAsia"/>
          <w:lang w:val="fr-FR" w:eastAsia="zh-TW"/>
        </w:rPr>
        <w:t>疏議</w:t>
      </w:r>
      <w:r w:rsidR="00F54F3F">
        <w:rPr>
          <w:rFonts w:eastAsia="新細明體" w:cs="Times New Roman"/>
          <w:lang w:val="fr-FR" w:eastAsia="zh-TW"/>
        </w:rPr>
        <w:t xml:space="preserve">), </w:t>
      </w:r>
      <w:r w:rsidR="005C7951">
        <w:rPr>
          <w:rFonts w:eastAsia="新細明體" w:cs="Times New Roman"/>
          <w:lang w:val="fr-FR" w:eastAsia="zh-TW"/>
        </w:rPr>
        <w:t xml:space="preserve">was </w:t>
      </w:r>
      <w:r w:rsidR="00F54F3F">
        <w:rPr>
          <w:rFonts w:eastAsia="新細明體" w:cs="Times New Roman"/>
          <w:lang w:val="fr-FR" w:eastAsia="zh-TW"/>
        </w:rPr>
        <w:t xml:space="preserve">replete </w:t>
      </w:r>
      <w:r w:rsidR="005C7951">
        <w:rPr>
          <w:rFonts w:eastAsia="新細明體" w:cs="Times New Roman"/>
          <w:lang w:val="fr-FR" w:eastAsia="zh-TW"/>
        </w:rPr>
        <w:t xml:space="preserve">with examples </w:t>
      </w:r>
      <w:r w:rsidR="00F54F3F">
        <w:rPr>
          <w:rFonts w:eastAsia="新細明體" w:cs="Times New Roman"/>
          <w:lang w:val="fr-FR" w:eastAsia="zh-TW"/>
        </w:rPr>
        <w:t>providing all the necessary explanations for its use (</w:t>
      </w:r>
      <w:r w:rsidR="0067164C" w:rsidRPr="0067164C">
        <w:rPr>
          <w:rFonts w:eastAsia="新細明體" w:cs="Times New Roman"/>
          <w:i/>
          <w:lang w:val="fr-FR" w:eastAsia="zh-TW"/>
        </w:rPr>
        <w:t>ciwai</w:t>
      </w:r>
      <w:r w:rsidR="0067164C">
        <w:rPr>
          <w:rFonts w:eastAsia="新細明體" w:cs="Times New Roman"/>
          <w:i/>
          <w:lang w:val="fr-FR" w:eastAsia="zh-TW"/>
        </w:rPr>
        <w:t xml:space="preserve"> </w:t>
      </w:r>
      <w:r w:rsidR="0067164C" w:rsidRPr="0067164C">
        <w:rPr>
          <w:rFonts w:eastAsia="新細明體" w:cs="Times New Roman"/>
          <w:i/>
          <w:lang w:val="fr-FR" w:eastAsia="zh-TW"/>
        </w:rPr>
        <w:t xml:space="preserve">sui tiao jieshizhe poduo, </w:t>
      </w:r>
      <w:r w:rsidR="0067164C">
        <w:rPr>
          <w:rFonts w:eastAsia="新細明體" w:cs="Times New Roman"/>
          <w:i/>
          <w:lang w:val="fr-FR" w:eastAsia="zh-TW"/>
        </w:rPr>
        <w:t>M</w:t>
      </w:r>
      <w:r w:rsidR="0067164C" w:rsidRPr="0067164C">
        <w:rPr>
          <w:rFonts w:eastAsia="新細明體" w:cs="Times New Roman"/>
          <w:i/>
          <w:lang w:val="fr-FR" w:eastAsia="zh-TW"/>
        </w:rPr>
        <w:t>inglü</w:t>
      </w:r>
      <w:r w:rsidR="0067164C">
        <w:rPr>
          <w:rFonts w:eastAsia="新細明體" w:cs="Times New Roman"/>
          <w:i/>
          <w:lang w:val="fr-FR" w:eastAsia="zh-TW"/>
        </w:rPr>
        <w:t xml:space="preserve"> </w:t>
      </w:r>
      <w:r w:rsidR="0067164C" w:rsidRPr="0067164C">
        <w:rPr>
          <w:rFonts w:eastAsia="新細明體" w:cs="Times New Roman"/>
          <w:i/>
          <w:lang w:val="fr-FR" w:eastAsia="zh-TW"/>
        </w:rPr>
        <w:t>gaiwei you suo guibi, yu Tanglü bu tong</w:t>
      </w:r>
      <w:r w:rsidR="0067164C">
        <w:rPr>
          <w:rFonts w:eastAsia="新細明體" w:cs="Times New Roman"/>
          <w:lang w:val="fr-FR" w:eastAsia="zh-TW"/>
        </w:rPr>
        <w:t xml:space="preserve"> </w:t>
      </w:r>
      <w:r w:rsidR="00F54F3F">
        <w:rPr>
          <w:rFonts w:ascii="新細明體" w:eastAsia="新細明體" w:hAnsi="新細明體" w:cs="新細明體" w:hint="eastAsia"/>
          <w:lang w:val="fr-FR" w:eastAsia="zh-TW"/>
        </w:rPr>
        <w:t>此外隨條解釋者頗多，明律改為有所規避，與唐律不同</w:t>
      </w:r>
      <w:r w:rsidR="00F54F3F">
        <w:rPr>
          <w:rFonts w:eastAsia="新細明體" w:cs="Times New Roman"/>
          <w:lang w:val="fr-FR" w:eastAsia="zh-TW"/>
        </w:rPr>
        <w:t>)</w:t>
      </w:r>
      <w:r w:rsidR="00F54F3F">
        <w:rPr>
          <w:rStyle w:val="Marquenotebasdepage"/>
          <w:rFonts w:eastAsia="新細明體" w:cs="Times New Roman"/>
          <w:lang w:val="fr-FR" w:eastAsia="zh-TW"/>
        </w:rPr>
        <w:footnoteReference w:id="34"/>
      </w:r>
      <w:r w:rsidR="00F54F3F">
        <w:rPr>
          <w:rFonts w:eastAsia="新細明體" w:cs="Times New Roman"/>
          <w:lang w:val="fr-FR" w:eastAsia="zh-TW"/>
        </w:rPr>
        <w:t>.</w:t>
      </w:r>
      <w:r w:rsidR="00A32DE2">
        <w:rPr>
          <w:rFonts w:eastAsia="新細明體" w:cs="Times New Roman"/>
          <w:lang w:val="fr-FR" w:eastAsia="zh-TW"/>
        </w:rPr>
        <w:t xml:space="preserve"> </w:t>
      </w:r>
      <w:r w:rsidR="00CA3D48">
        <w:rPr>
          <w:rFonts w:eastAsia="新細明體" w:cs="Times New Roman"/>
          <w:lang w:val="fr-FR" w:eastAsia="zh-TW"/>
        </w:rPr>
        <w:t xml:space="preserve">The </w:t>
      </w:r>
      <w:r w:rsidR="00A32DE2">
        <w:rPr>
          <w:rFonts w:eastAsia="新細明體" w:cs="Times New Roman"/>
          <w:lang w:val="fr-FR" w:eastAsia="zh-TW"/>
        </w:rPr>
        <w:t xml:space="preserve">second remark </w:t>
      </w:r>
      <w:r w:rsidR="00CA3D48">
        <w:rPr>
          <w:rFonts w:eastAsia="新細明體" w:cs="Times New Roman"/>
          <w:lang w:val="fr-FR" w:eastAsia="zh-TW"/>
        </w:rPr>
        <w:t>is that the examples that illustrate the meaning of the third paragr</w:t>
      </w:r>
      <w:r w:rsidR="001365B3">
        <w:rPr>
          <w:rFonts w:eastAsia="新細明體" w:cs="Times New Roman"/>
          <w:lang w:val="fr-FR" w:eastAsia="zh-TW"/>
        </w:rPr>
        <w:t xml:space="preserve">aph in the Ming and Qing codes – 1. </w:t>
      </w:r>
      <w:r w:rsidR="00CA3D48">
        <w:rPr>
          <w:rFonts w:eastAsia="新細明體" w:cs="Times New Roman"/>
          <w:lang w:val="fr-FR" w:eastAsia="zh-TW"/>
        </w:rPr>
        <w:t>uncle and nephew</w:t>
      </w:r>
      <w:r w:rsidR="00962D34">
        <w:rPr>
          <w:rFonts w:eastAsia="新細明體" w:cs="Times New Roman"/>
          <w:lang w:val="fr-FR" w:eastAsia="zh-TW"/>
        </w:rPr>
        <w:t xml:space="preserve"> unaware of each other’s existence</w:t>
      </w:r>
      <w:r w:rsidR="00CA3D48">
        <w:rPr>
          <w:rFonts w:eastAsia="新細明體" w:cs="Times New Roman"/>
          <w:lang w:val="fr-FR" w:eastAsia="zh-TW"/>
        </w:rPr>
        <w:t xml:space="preserve">, </w:t>
      </w:r>
      <w:r w:rsidR="001365B3">
        <w:rPr>
          <w:rFonts w:eastAsia="新細明體" w:cs="Times New Roman"/>
          <w:lang w:val="fr-FR" w:eastAsia="zh-TW"/>
        </w:rPr>
        <w:t xml:space="preserve">2. </w:t>
      </w:r>
      <w:r w:rsidR="0067164C">
        <w:rPr>
          <w:rFonts w:eastAsia="新細明體" w:cs="Times New Roman"/>
          <w:lang w:val="fr-FR" w:eastAsia="zh-TW"/>
        </w:rPr>
        <w:t>thief</w:t>
      </w:r>
      <w:r w:rsidR="00CA3D48">
        <w:rPr>
          <w:rFonts w:eastAsia="新細明體" w:cs="Times New Roman"/>
          <w:lang w:val="fr-FR" w:eastAsia="zh-TW"/>
        </w:rPr>
        <w:t xml:space="preserve"> unaware of what he has just stolen, </w:t>
      </w:r>
      <w:r w:rsidR="001365B3">
        <w:rPr>
          <w:rFonts w:eastAsia="新細明體" w:cs="Times New Roman"/>
          <w:lang w:val="fr-FR" w:eastAsia="zh-TW"/>
        </w:rPr>
        <w:t xml:space="preserve">3. </w:t>
      </w:r>
      <w:r w:rsidR="00CA3D48">
        <w:rPr>
          <w:rFonts w:eastAsia="新細明體" w:cs="Times New Roman"/>
          <w:lang w:val="fr-FR" w:eastAsia="zh-TW"/>
        </w:rPr>
        <w:t>father and son</w:t>
      </w:r>
      <w:r w:rsidR="00962D34">
        <w:rPr>
          <w:rFonts w:eastAsia="新細明體" w:cs="Times New Roman"/>
          <w:lang w:val="fr-FR" w:eastAsia="zh-TW"/>
        </w:rPr>
        <w:t xml:space="preserve"> unaware of each other’s existence</w:t>
      </w:r>
      <w:r w:rsidR="001365B3">
        <w:rPr>
          <w:rFonts w:eastAsia="新細明體" w:cs="Times New Roman"/>
          <w:lang w:val="fr-FR" w:eastAsia="zh-TW"/>
        </w:rPr>
        <w:t xml:space="preserve"> –</w:t>
      </w:r>
      <w:r w:rsidR="00CA3D48">
        <w:rPr>
          <w:rFonts w:eastAsia="新細明體" w:cs="Times New Roman"/>
          <w:lang w:val="fr-FR" w:eastAsia="zh-TW"/>
        </w:rPr>
        <w:t xml:space="preserve"> are the exact same ones put forth in the Tang commentary</w:t>
      </w:r>
      <w:r w:rsidR="00CA3D48">
        <w:rPr>
          <w:rStyle w:val="Marquenotebasdepage"/>
          <w:rFonts w:eastAsia="新細明體" w:cs="Times New Roman"/>
          <w:lang w:val="fr-FR" w:eastAsia="zh-TW"/>
        </w:rPr>
        <w:footnoteReference w:id="35"/>
      </w:r>
      <w:r w:rsidR="00CA3D48">
        <w:rPr>
          <w:rFonts w:eastAsia="新細明體" w:cs="Times New Roman"/>
          <w:lang w:val="fr-FR" w:eastAsia="zh-TW"/>
        </w:rPr>
        <w:t>.</w:t>
      </w:r>
      <w:r w:rsidR="00886068">
        <w:rPr>
          <w:rFonts w:eastAsia="新細明體" w:cs="Times New Roman"/>
          <w:lang w:val="fr-FR" w:eastAsia="zh-TW"/>
        </w:rPr>
        <w:t xml:space="preserve"> I</w:t>
      </w:r>
      <w:r w:rsidR="001365B3">
        <w:rPr>
          <w:rFonts w:eastAsia="新細明體" w:cs="Times New Roman"/>
          <w:lang w:val="fr-FR" w:eastAsia="zh-TW"/>
        </w:rPr>
        <w:t>n other words</w:t>
      </w:r>
      <w:r w:rsidR="00886068">
        <w:rPr>
          <w:rFonts w:eastAsia="新細明體" w:cs="Times New Roman"/>
          <w:lang w:val="fr-FR" w:eastAsia="zh-TW"/>
        </w:rPr>
        <w:t>, present</w:t>
      </w:r>
      <w:r w:rsidR="001365B3">
        <w:rPr>
          <w:rFonts w:eastAsia="新細明體" w:cs="Times New Roman"/>
          <w:lang w:val="fr-FR" w:eastAsia="zh-TW"/>
        </w:rPr>
        <w:t xml:space="preserve"> from the onset of China’s </w:t>
      </w:r>
      <w:r w:rsidR="00886068">
        <w:rPr>
          <w:rFonts w:eastAsia="新細明體" w:cs="Times New Roman"/>
          <w:lang w:val="fr-FR" w:eastAsia="zh-TW"/>
        </w:rPr>
        <w:t>tradition of codified law (so to speak)</w:t>
      </w:r>
      <w:r w:rsidR="00865515">
        <w:rPr>
          <w:rStyle w:val="Marquenotebasdepage"/>
          <w:rFonts w:eastAsia="新細明體" w:cs="Times New Roman"/>
          <w:lang w:val="fr-FR" w:eastAsia="zh-TW"/>
        </w:rPr>
        <w:footnoteReference w:id="36"/>
      </w:r>
      <w:r w:rsidR="00886068">
        <w:rPr>
          <w:rFonts w:eastAsia="新細明體" w:cs="Times New Roman"/>
          <w:lang w:val="fr-FR" w:eastAsia="zh-TW"/>
        </w:rPr>
        <w:t>, this statute</w:t>
      </w:r>
      <w:r w:rsidR="00A33AD8">
        <w:rPr>
          <w:rFonts w:eastAsia="新細明體" w:cs="Times New Roman"/>
          <w:lang w:val="fr-FR" w:eastAsia="zh-TW"/>
        </w:rPr>
        <w:t xml:space="preserve">, albeit in </w:t>
      </w:r>
      <w:r w:rsidR="00886068">
        <w:rPr>
          <w:rFonts w:eastAsia="新細明體" w:cs="Times New Roman"/>
          <w:lang w:val="fr-FR" w:eastAsia="zh-TW"/>
        </w:rPr>
        <w:t>its</w:t>
      </w:r>
      <w:r w:rsidR="00A33AD8">
        <w:rPr>
          <w:rFonts w:eastAsia="新細明體" w:cs="Times New Roman"/>
          <w:lang w:val="fr-FR" w:eastAsia="zh-TW"/>
        </w:rPr>
        <w:t xml:space="preserve"> modified</w:t>
      </w:r>
      <w:r w:rsidR="00886068">
        <w:rPr>
          <w:rFonts w:eastAsia="新細明體" w:cs="Times New Roman"/>
          <w:lang w:val="fr-FR" w:eastAsia="zh-TW"/>
        </w:rPr>
        <w:t xml:space="preserve"> </w:t>
      </w:r>
      <w:r w:rsidR="00A33AD8">
        <w:rPr>
          <w:rFonts w:eastAsia="新細明體" w:cs="Times New Roman"/>
          <w:lang w:val="fr-FR" w:eastAsia="zh-TW"/>
        </w:rPr>
        <w:t xml:space="preserve">form, remained a sufficiently central component of legal thought to be still included, more than half a millenium later, in the judicial construct which was to </w:t>
      </w:r>
      <w:r w:rsidR="00865515">
        <w:rPr>
          <w:rFonts w:eastAsia="新細明體" w:cs="Times New Roman"/>
          <w:lang w:val="fr-FR" w:eastAsia="zh-TW"/>
        </w:rPr>
        <w:t>frame the whole of China’s late imperial period.</w:t>
      </w:r>
    </w:p>
    <w:p w14:paraId="0EFE7E89" w14:textId="1DC0A808" w:rsidR="00434C95" w:rsidRDefault="00A33AD8" w:rsidP="001C6EAC">
      <w:pPr>
        <w:ind w:firstLine="284"/>
        <w:jc w:val="both"/>
        <w:rPr>
          <w:rFonts w:eastAsia="新細明體" w:cs="Times New Roman"/>
          <w:lang w:val="fr-FR" w:eastAsia="zh-TW"/>
        </w:rPr>
      </w:pPr>
      <w:r>
        <w:rPr>
          <w:rFonts w:eastAsia="新細明體" w:cs="Times New Roman"/>
          <w:lang w:val="fr-FR" w:eastAsia="zh-TW"/>
        </w:rPr>
        <w:t>Yet</w:t>
      </w:r>
      <w:r w:rsidR="00865515">
        <w:rPr>
          <w:rFonts w:eastAsia="新細明體" w:cs="Times New Roman"/>
          <w:lang w:val="fr-FR" w:eastAsia="zh-TW"/>
        </w:rPr>
        <w:t>,</w:t>
      </w:r>
      <w:r>
        <w:rPr>
          <w:rFonts w:eastAsia="新細明體" w:cs="Times New Roman"/>
          <w:lang w:val="fr-FR" w:eastAsia="zh-TW"/>
        </w:rPr>
        <w:t xml:space="preserve"> </w:t>
      </w:r>
      <w:r w:rsidR="00865515">
        <w:rPr>
          <w:rFonts w:eastAsia="新細明體" w:cs="Times New Roman"/>
          <w:lang w:val="fr-FR" w:eastAsia="zh-TW"/>
        </w:rPr>
        <w:t>in the Ming and Qing codes</w:t>
      </w:r>
      <w:r w:rsidR="000855E9">
        <w:rPr>
          <w:rFonts w:eastAsia="新細明體" w:cs="Times New Roman"/>
          <w:lang w:val="fr-FR" w:eastAsia="zh-TW"/>
        </w:rPr>
        <w:t xml:space="preserve"> </w:t>
      </w:r>
      <w:r w:rsidR="00865515">
        <w:rPr>
          <w:rFonts w:eastAsia="新細明體" w:cs="Times New Roman"/>
          <w:lang w:val="fr-FR" w:eastAsia="zh-TW"/>
        </w:rPr>
        <w:t xml:space="preserve">as, for that matter, in the Tang code, </w:t>
      </w:r>
      <w:r w:rsidR="000855E9">
        <w:rPr>
          <w:rFonts w:eastAsia="新細明體" w:cs="Times New Roman"/>
          <w:lang w:val="fr-FR" w:eastAsia="zh-TW"/>
        </w:rPr>
        <w:t xml:space="preserve">the notion of </w:t>
      </w:r>
      <w:r w:rsidR="000855E9" w:rsidRPr="000855E9">
        <w:rPr>
          <w:rFonts w:eastAsia="新細明體" w:cs="Times New Roman"/>
          <w:i/>
          <w:lang w:val="fr-FR" w:eastAsia="zh-TW"/>
        </w:rPr>
        <w:t>fanshi bu zhi</w:t>
      </w:r>
      <w:r w:rsidR="000855E9">
        <w:rPr>
          <w:rFonts w:eastAsia="新細明體" w:cs="Times New Roman"/>
          <w:lang w:val="fr-FR" w:eastAsia="zh-TW"/>
        </w:rPr>
        <w:t xml:space="preserve"> itself is </w:t>
      </w:r>
      <w:r w:rsidR="00865515">
        <w:rPr>
          <w:rFonts w:eastAsia="新細明體" w:cs="Times New Roman"/>
          <w:lang w:val="fr-FR" w:eastAsia="zh-TW"/>
        </w:rPr>
        <w:t xml:space="preserve">only </w:t>
      </w:r>
      <w:r w:rsidR="000855E9">
        <w:rPr>
          <w:rFonts w:eastAsia="新細明體" w:cs="Times New Roman"/>
          <w:lang w:val="fr-FR" w:eastAsia="zh-TW"/>
        </w:rPr>
        <w:t xml:space="preserve">very seldom encountered. </w:t>
      </w:r>
      <w:r w:rsidR="00BB2DAB">
        <w:rPr>
          <w:rFonts w:eastAsia="新細明體" w:cs="Times New Roman"/>
          <w:lang w:val="fr-FR" w:eastAsia="zh-TW"/>
        </w:rPr>
        <w:t>I</w:t>
      </w:r>
      <w:r w:rsidR="000855E9">
        <w:rPr>
          <w:rFonts w:eastAsia="新細明體" w:cs="Times New Roman"/>
          <w:lang w:val="fr-FR" w:eastAsia="zh-TW"/>
        </w:rPr>
        <w:t xml:space="preserve">n the former, </w:t>
      </w:r>
      <w:r w:rsidR="00BB2DAB">
        <w:rPr>
          <w:rFonts w:eastAsia="新細明體" w:cs="Times New Roman"/>
          <w:lang w:val="fr-FR" w:eastAsia="zh-TW"/>
        </w:rPr>
        <w:t xml:space="preserve">it appears once only, </w:t>
      </w:r>
      <w:r w:rsidR="000855E9">
        <w:rPr>
          <w:rFonts w:eastAsia="新細明體" w:cs="Times New Roman"/>
          <w:lang w:val="fr-FR" w:eastAsia="zh-TW"/>
        </w:rPr>
        <w:t>in statute</w:t>
      </w:r>
      <w:r w:rsidR="00BB2DAB">
        <w:rPr>
          <w:rFonts w:eastAsia="新細明體" w:cs="Times New Roman"/>
          <w:lang w:val="fr-FR" w:eastAsia="zh-TW"/>
        </w:rPr>
        <w:t xml:space="preserve"> 37</w:t>
      </w:r>
      <w:r w:rsidR="00F42414">
        <w:rPr>
          <w:rStyle w:val="Marquenotebasdepage"/>
          <w:rFonts w:eastAsia="新細明體" w:cs="Times New Roman"/>
          <w:lang w:val="fr-FR" w:eastAsia="zh-TW"/>
        </w:rPr>
        <w:footnoteReference w:id="37"/>
      </w:r>
      <w:r w:rsidR="000855E9">
        <w:rPr>
          <w:rFonts w:eastAsia="新細明體" w:cs="Times New Roman"/>
          <w:lang w:val="fr-FR" w:eastAsia="zh-TW"/>
        </w:rPr>
        <w:t xml:space="preserve">. </w:t>
      </w:r>
      <w:r w:rsidR="00BB2DAB">
        <w:rPr>
          <w:rFonts w:eastAsia="新細明體" w:cs="Times New Roman"/>
          <w:lang w:val="fr-FR" w:eastAsia="zh-TW"/>
        </w:rPr>
        <w:t>T</w:t>
      </w:r>
      <w:r w:rsidR="000855E9">
        <w:rPr>
          <w:rFonts w:eastAsia="新細明體" w:cs="Times New Roman"/>
          <w:lang w:val="fr-FR" w:eastAsia="zh-TW"/>
        </w:rPr>
        <w:t>he Qing code</w:t>
      </w:r>
      <w:r w:rsidR="00BB2DAB">
        <w:rPr>
          <w:rFonts w:eastAsia="新細明體" w:cs="Times New Roman"/>
          <w:lang w:val="fr-FR" w:eastAsia="zh-TW"/>
        </w:rPr>
        <w:t xml:space="preserve"> can boast of </w:t>
      </w:r>
      <w:r w:rsidR="000855E9">
        <w:rPr>
          <w:rFonts w:eastAsia="新細明體" w:cs="Times New Roman"/>
          <w:lang w:val="fr-FR" w:eastAsia="zh-TW"/>
        </w:rPr>
        <w:t>one additional occurrence, as interlinear note to statute 295</w:t>
      </w:r>
      <w:r w:rsidR="00EA1F9C">
        <w:rPr>
          <w:rFonts w:eastAsia="新細明體" w:cs="Times New Roman"/>
          <w:lang w:val="fr-FR" w:eastAsia="zh-TW"/>
        </w:rPr>
        <w:t xml:space="preserve"> (</w:t>
      </w:r>
      <w:r w:rsidR="00EA1F9C" w:rsidRPr="00EA1F9C">
        <w:rPr>
          <w:rFonts w:eastAsia="新細明體" w:cs="Times New Roman"/>
          <w:i/>
          <w:lang w:val="fr-FR" w:eastAsia="zh-TW"/>
        </w:rPr>
        <w:t>gongjian shangren</w:t>
      </w:r>
      <w:r w:rsidR="00EA1F9C">
        <w:rPr>
          <w:rFonts w:eastAsia="新細明體" w:cs="Times New Roman"/>
          <w:lang w:val="fr-FR" w:eastAsia="zh-TW"/>
        </w:rPr>
        <w:t xml:space="preserve"> </w:t>
      </w:r>
      <w:r w:rsidR="00EA1F9C">
        <w:rPr>
          <w:rFonts w:ascii="新細明體" w:eastAsia="新細明體" w:hAnsi="新細明體" w:cs="新細明體" w:hint="eastAsia"/>
          <w:lang w:val="fr-FR" w:eastAsia="zh-TW"/>
        </w:rPr>
        <w:t>弓箭傷人</w:t>
      </w:r>
      <w:r w:rsidR="00EA1F9C">
        <w:rPr>
          <w:rFonts w:eastAsia="新細明體" w:cs="Times New Roman"/>
          <w:lang w:val="fr-FR" w:eastAsia="zh-TW"/>
        </w:rPr>
        <w:t>)</w:t>
      </w:r>
      <w:r w:rsidR="000855E9">
        <w:rPr>
          <w:rFonts w:eastAsia="新細明體" w:cs="Times New Roman"/>
          <w:lang w:val="fr-FR" w:eastAsia="zh-TW"/>
        </w:rPr>
        <w:t xml:space="preserve">, which addresses the issue </w:t>
      </w:r>
      <w:r w:rsidR="00A34E29">
        <w:rPr>
          <w:rFonts w:eastAsia="新細明體" w:cs="Times New Roman"/>
          <w:lang w:val="fr-FR" w:eastAsia="zh-TW"/>
        </w:rPr>
        <w:t xml:space="preserve">of </w:t>
      </w:r>
      <w:r w:rsidR="00EA1F9C">
        <w:rPr>
          <w:rFonts w:eastAsia="新細明體" w:cs="Times New Roman"/>
          <w:lang w:val="fr-FR" w:eastAsia="zh-TW"/>
        </w:rPr>
        <w:t xml:space="preserve">the penal consequences for </w:t>
      </w:r>
      <w:r w:rsidR="00A34E29">
        <w:rPr>
          <w:rFonts w:eastAsia="新細明體" w:cs="Times New Roman"/>
          <w:lang w:val="fr-FR" w:eastAsia="zh-TW"/>
        </w:rPr>
        <w:t xml:space="preserve">individuals </w:t>
      </w:r>
      <w:r w:rsidR="00754900">
        <w:rPr>
          <w:rFonts w:eastAsia="新細明體" w:cs="Times New Roman"/>
          <w:lang w:val="fr-FR" w:eastAsia="zh-TW"/>
        </w:rPr>
        <w:t xml:space="preserve">shooting </w:t>
      </w:r>
      <w:r w:rsidR="00A34E29">
        <w:rPr>
          <w:rFonts w:eastAsia="新細明體" w:cs="Times New Roman"/>
          <w:lang w:val="fr-FR" w:eastAsia="zh-TW"/>
        </w:rPr>
        <w:t>arrows</w:t>
      </w:r>
      <w:r w:rsidR="00F3059B">
        <w:rPr>
          <w:rFonts w:eastAsia="新細明體" w:cs="Times New Roman"/>
          <w:lang w:val="fr-FR" w:eastAsia="zh-TW"/>
        </w:rPr>
        <w:t xml:space="preserve"> (or other types of pr</w:t>
      </w:r>
      <w:r w:rsidR="00607DFD">
        <w:rPr>
          <w:rFonts w:eastAsia="新細明體" w:cs="Times New Roman"/>
          <w:lang w:val="fr-FR" w:eastAsia="zh-TW"/>
        </w:rPr>
        <w:t>ojectiles, such as stones or bri</w:t>
      </w:r>
      <w:r w:rsidR="00F3059B">
        <w:rPr>
          <w:rFonts w:eastAsia="新細明體" w:cs="Times New Roman"/>
          <w:lang w:val="fr-FR" w:eastAsia="zh-TW"/>
        </w:rPr>
        <w:t>cks for example)</w:t>
      </w:r>
      <w:r w:rsidR="00607DFD">
        <w:rPr>
          <w:rFonts w:eastAsia="新細明體" w:cs="Times New Roman"/>
          <w:lang w:val="fr-FR" w:eastAsia="zh-TW"/>
        </w:rPr>
        <w:t>,</w:t>
      </w:r>
      <w:r w:rsidR="00EA1F9C">
        <w:rPr>
          <w:rFonts w:eastAsia="新細明體" w:cs="Times New Roman"/>
          <w:lang w:val="fr-FR" w:eastAsia="zh-TW"/>
        </w:rPr>
        <w:t xml:space="preserve"> for no proper reason</w:t>
      </w:r>
      <w:r w:rsidR="00607DFD">
        <w:rPr>
          <w:rFonts w:eastAsia="新細明體" w:cs="Times New Roman"/>
          <w:lang w:val="fr-FR" w:eastAsia="zh-TW"/>
        </w:rPr>
        <w:t>,</w:t>
      </w:r>
      <w:r w:rsidR="00EA1F9C">
        <w:rPr>
          <w:rFonts w:eastAsia="新細明體" w:cs="Times New Roman"/>
          <w:lang w:val="fr-FR" w:eastAsia="zh-TW"/>
        </w:rPr>
        <w:t xml:space="preserve"> towards cities or other sites of residences</w:t>
      </w:r>
      <w:r w:rsidR="00754900">
        <w:rPr>
          <w:rFonts w:eastAsia="新細明體" w:cs="Times New Roman"/>
          <w:lang w:val="fr-FR" w:eastAsia="zh-TW"/>
        </w:rPr>
        <w:t>.</w:t>
      </w:r>
      <w:r w:rsidR="00BB2DAB">
        <w:rPr>
          <w:rFonts w:eastAsia="新細明體" w:cs="Times New Roman"/>
          <w:lang w:val="fr-FR" w:eastAsia="zh-TW"/>
        </w:rPr>
        <w:t xml:space="preserve"> </w:t>
      </w:r>
      <w:r w:rsidR="00F3059B">
        <w:rPr>
          <w:rFonts w:eastAsia="新細明體" w:cs="Times New Roman"/>
          <w:lang w:val="fr-FR" w:eastAsia="zh-TW"/>
        </w:rPr>
        <w:t xml:space="preserve">After the presentation of the scale </w:t>
      </w:r>
      <w:r w:rsidR="00607DFD">
        <w:rPr>
          <w:rFonts w:eastAsia="新細明體" w:cs="Times New Roman"/>
          <w:lang w:val="fr-FR" w:eastAsia="zh-TW"/>
        </w:rPr>
        <w:t xml:space="preserve">of </w:t>
      </w:r>
      <w:r w:rsidR="00F3059B">
        <w:rPr>
          <w:rFonts w:eastAsia="新細明體" w:cs="Times New Roman"/>
          <w:lang w:val="fr-FR" w:eastAsia="zh-TW"/>
        </w:rPr>
        <w:t>punishments meted out for the different possible consequences to others – no physical harm done, injury, and death –, t</w:t>
      </w:r>
      <w:r w:rsidR="00433D1A">
        <w:rPr>
          <w:rFonts w:eastAsia="新細明體" w:cs="Times New Roman"/>
          <w:lang w:val="fr-FR" w:eastAsia="zh-TW"/>
        </w:rPr>
        <w:t xml:space="preserve">he </w:t>
      </w:r>
      <w:r w:rsidR="00F3059B">
        <w:rPr>
          <w:rFonts w:eastAsia="新細明體" w:cs="Times New Roman"/>
          <w:lang w:val="fr-FR" w:eastAsia="zh-TW"/>
        </w:rPr>
        <w:t xml:space="preserve">third paragraph of the </w:t>
      </w:r>
      <w:r w:rsidR="00F3059B" w:rsidRPr="00F3059B">
        <w:rPr>
          <w:rFonts w:eastAsia="新細明體" w:cs="Times New Roman"/>
          <w:i/>
          <w:lang w:val="fr-FR" w:eastAsia="zh-TW"/>
        </w:rPr>
        <w:t>Bentiao bie you zuiming</w:t>
      </w:r>
      <w:r w:rsidR="00F3059B">
        <w:rPr>
          <w:rFonts w:eastAsia="新細明體" w:cs="Times New Roman"/>
          <w:lang w:val="fr-FR" w:eastAsia="zh-TW"/>
        </w:rPr>
        <w:t xml:space="preserve"> statute is appended </w:t>
      </w:r>
      <w:r w:rsidR="0067164C">
        <w:rPr>
          <w:rFonts w:eastAsia="新細明體" w:cs="Times New Roman"/>
          <w:lang w:val="fr-FR" w:eastAsia="zh-TW"/>
        </w:rPr>
        <w:t xml:space="preserve">as interlinear note </w:t>
      </w:r>
      <w:r w:rsidR="00F3059B">
        <w:rPr>
          <w:rFonts w:eastAsia="新細明體" w:cs="Times New Roman"/>
          <w:lang w:val="fr-FR" w:eastAsia="zh-TW"/>
        </w:rPr>
        <w:t xml:space="preserve">(without the examples), </w:t>
      </w:r>
      <w:r w:rsidR="00607DFD">
        <w:rPr>
          <w:rFonts w:eastAsia="新細明體" w:cs="Times New Roman"/>
          <w:lang w:val="fr-FR" w:eastAsia="zh-TW"/>
        </w:rPr>
        <w:t xml:space="preserve">as </w:t>
      </w:r>
      <w:r w:rsidR="00393A25">
        <w:rPr>
          <w:rFonts w:eastAsia="新細明體" w:cs="Times New Roman"/>
          <w:lang w:val="fr-FR" w:eastAsia="zh-TW"/>
        </w:rPr>
        <w:t xml:space="preserve">the benchmark </w:t>
      </w:r>
      <w:r w:rsidR="000913A5">
        <w:rPr>
          <w:rFonts w:eastAsia="新細明體" w:cs="Times New Roman"/>
          <w:lang w:val="fr-FR" w:eastAsia="zh-TW"/>
        </w:rPr>
        <w:t>for</w:t>
      </w:r>
      <w:r w:rsidR="00393A25">
        <w:rPr>
          <w:rFonts w:eastAsia="新細明體" w:cs="Times New Roman"/>
          <w:lang w:val="fr-FR" w:eastAsia="zh-TW"/>
        </w:rPr>
        <w:t xml:space="preserve"> adjudicating </w:t>
      </w:r>
      <w:r w:rsidR="00607DFD">
        <w:rPr>
          <w:rFonts w:eastAsia="新細明體" w:cs="Times New Roman"/>
          <w:lang w:val="fr-FR" w:eastAsia="zh-TW"/>
        </w:rPr>
        <w:t xml:space="preserve">cases where the victim </w:t>
      </w:r>
      <w:r w:rsidR="000913A5">
        <w:rPr>
          <w:rFonts w:eastAsia="新細明體" w:cs="Times New Roman"/>
          <w:lang w:val="fr-FR" w:eastAsia="zh-TW"/>
        </w:rPr>
        <w:t xml:space="preserve">is </w:t>
      </w:r>
      <w:r w:rsidR="00607DFD">
        <w:rPr>
          <w:rFonts w:eastAsia="新細明體" w:cs="Times New Roman"/>
          <w:lang w:val="fr-FR" w:eastAsia="zh-TW"/>
        </w:rPr>
        <w:t>a family member</w:t>
      </w:r>
      <w:r w:rsidR="00607DFD">
        <w:rPr>
          <w:rStyle w:val="Marquenotebasdepage"/>
          <w:rFonts w:eastAsia="新細明體" w:cs="Times New Roman"/>
          <w:lang w:val="fr-FR" w:eastAsia="zh-TW"/>
        </w:rPr>
        <w:footnoteReference w:id="38"/>
      </w:r>
      <w:r w:rsidR="00433D1A">
        <w:rPr>
          <w:rFonts w:eastAsia="新細明體" w:cs="Times New Roman"/>
          <w:lang w:val="fr-FR" w:eastAsia="zh-TW"/>
        </w:rPr>
        <w:t>.</w:t>
      </w:r>
      <w:r w:rsidR="00EA1F9C">
        <w:rPr>
          <w:rFonts w:eastAsia="新細明體" w:cs="Times New Roman"/>
          <w:lang w:val="fr-FR" w:eastAsia="zh-TW"/>
        </w:rPr>
        <w:t xml:space="preserve"> </w:t>
      </w:r>
      <w:r w:rsidR="0067164C">
        <w:rPr>
          <w:rFonts w:eastAsia="新細明體" w:cs="Times New Roman"/>
          <w:lang w:val="fr-FR" w:eastAsia="zh-TW"/>
        </w:rPr>
        <w:t xml:space="preserve">Thus, yet again, </w:t>
      </w:r>
      <w:r w:rsidR="00607DFD">
        <w:rPr>
          <w:rFonts w:eastAsia="新細明體" w:cs="Times New Roman"/>
          <w:lang w:val="fr-FR" w:eastAsia="zh-TW"/>
        </w:rPr>
        <w:t xml:space="preserve">the notion of </w:t>
      </w:r>
      <w:r w:rsidR="00607DFD" w:rsidRPr="00607DFD">
        <w:rPr>
          <w:rFonts w:eastAsia="新細明體" w:cs="Times New Roman"/>
          <w:i/>
          <w:lang w:val="fr-FR" w:eastAsia="zh-TW"/>
        </w:rPr>
        <w:t>fanshi bu zhi</w:t>
      </w:r>
      <w:r w:rsidR="00607DFD">
        <w:rPr>
          <w:rFonts w:eastAsia="新細明體" w:cs="Times New Roman"/>
          <w:lang w:val="fr-FR" w:eastAsia="zh-TW"/>
        </w:rPr>
        <w:t xml:space="preserve"> appears here</w:t>
      </w:r>
      <w:r w:rsidR="0067164C">
        <w:rPr>
          <w:rFonts w:eastAsia="新細明體" w:cs="Times New Roman"/>
          <w:lang w:val="fr-FR" w:eastAsia="zh-TW"/>
        </w:rPr>
        <w:t xml:space="preserve"> </w:t>
      </w:r>
      <w:r w:rsidR="00607DFD">
        <w:rPr>
          <w:rFonts w:eastAsia="新細明體" w:cs="Times New Roman"/>
          <w:lang w:val="fr-FR" w:eastAsia="zh-TW"/>
        </w:rPr>
        <w:t xml:space="preserve">in direct relation with affairs </w:t>
      </w:r>
      <w:r w:rsidR="00393A25">
        <w:rPr>
          <w:rFonts w:eastAsia="新細明體" w:cs="Times New Roman"/>
          <w:lang w:val="fr-FR" w:eastAsia="zh-TW"/>
        </w:rPr>
        <w:t>involving kins.</w:t>
      </w:r>
    </w:p>
    <w:p w14:paraId="36D1113F" w14:textId="175D5F35" w:rsidR="00393A25" w:rsidRDefault="00D11757" w:rsidP="001C6EAC">
      <w:pPr>
        <w:ind w:firstLine="284"/>
        <w:jc w:val="both"/>
        <w:rPr>
          <w:rFonts w:eastAsia="新細明體" w:cs="Times New Roman"/>
          <w:lang w:val="fr-FR" w:eastAsia="zh-TW"/>
        </w:rPr>
      </w:pPr>
      <w:r>
        <w:rPr>
          <w:rFonts w:eastAsia="新細明體" w:cs="Times New Roman"/>
          <w:lang w:val="fr-FR" w:eastAsia="zh-TW"/>
        </w:rPr>
        <w:t xml:space="preserve">If we pursue the same line of investigation, but this time with regard to the practical connections the whole </w:t>
      </w:r>
      <w:r w:rsidRPr="00D11757">
        <w:rPr>
          <w:rFonts w:eastAsia="新細明體" w:cs="Times New Roman"/>
          <w:i/>
          <w:lang w:val="fr-FR" w:eastAsia="zh-TW"/>
        </w:rPr>
        <w:t>Bentiao bie you zuiming</w:t>
      </w:r>
      <w:r>
        <w:rPr>
          <w:rFonts w:eastAsia="新細明體" w:cs="Times New Roman"/>
          <w:lang w:val="fr-FR" w:eastAsia="zh-TW"/>
        </w:rPr>
        <w:t xml:space="preserve"> statute might have maintained with other statutes in the code, two more links appear</w:t>
      </w:r>
      <w:r>
        <w:rPr>
          <w:rStyle w:val="Marquenotebasdepage"/>
          <w:rFonts w:eastAsia="新細明體" w:cs="Times New Roman"/>
          <w:lang w:val="fr-FR" w:eastAsia="zh-TW"/>
        </w:rPr>
        <w:footnoteReference w:id="39"/>
      </w:r>
      <w:r>
        <w:rPr>
          <w:rFonts w:eastAsia="新細明體" w:cs="Times New Roman"/>
          <w:lang w:val="fr-FR" w:eastAsia="zh-TW"/>
        </w:rPr>
        <w:t xml:space="preserve">. </w:t>
      </w:r>
      <w:r w:rsidR="00A10530">
        <w:rPr>
          <w:rFonts w:eastAsia="新細明體" w:cs="Times New Roman"/>
          <w:lang w:val="fr-FR" w:eastAsia="zh-TW"/>
        </w:rPr>
        <w:t>The first draws together the principle formulated in the second paragraph</w:t>
      </w:r>
      <w:r w:rsidR="00753959">
        <w:rPr>
          <w:rFonts w:eastAsia="新細明體" w:cs="Times New Roman"/>
          <w:lang w:val="fr-FR" w:eastAsia="zh-TW"/>
        </w:rPr>
        <w:t xml:space="preserve"> with that found in statute 26 (</w:t>
      </w:r>
      <w:r w:rsidR="00A10530">
        <w:rPr>
          <w:rFonts w:eastAsia="新細明體" w:cs="Times New Roman"/>
          <w:lang w:val="fr-FR" w:eastAsia="zh-TW"/>
        </w:rPr>
        <w:t>Qing code)</w:t>
      </w:r>
      <w:r w:rsidR="006B6270">
        <w:rPr>
          <w:rFonts w:eastAsia="新細明體" w:cs="Times New Roman"/>
          <w:lang w:val="fr-FR" w:eastAsia="zh-TW"/>
        </w:rPr>
        <w:t>,</w:t>
      </w:r>
      <w:r w:rsidR="00D65CAD">
        <w:rPr>
          <w:rFonts w:eastAsia="新細明體" w:cs="Times New Roman"/>
          <w:lang w:val="fr-FR" w:eastAsia="zh-TW"/>
        </w:rPr>
        <w:t xml:space="preserve"> entitled “When two crimes are discovered simultaneously, adjudicate according to the provisions pertaining to the more serious” (</w:t>
      </w:r>
      <w:r w:rsidR="00D65CAD" w:rsidRPr="00421A05">
        <w:rPr>
          <w:rFonts w:eastAsia="新細明體" w:cs="Times New Roman"/>
          <w:i/>
          <w:lang w:val="fr-FR" w:eastAsia="zh-TW"/>
        </w:rPr>
        <w:t>er zui ju fa yi zhong lun</w:t>
      </w:r>
      <w:r w:rsidR="00D65CAD">
        <w:rPr>
          <w:rFonts w:eastAsia="新細明體" w:cs="Times New Roman"/>
          <w:lang w:val="fr-FR" w:eastAsia="zh-TW"/>
        </w:rPr>
        <w:t xml:space="preserve"> </w:t>
      </w:r>
      <w:r w:rsidR="00D65CAD">
        <w:rPr>
          <w:rFonts w:ascii="新細明體" w:eastAsia="新細明體" w:hAnsi="新細明體" w:cs="新細明體" w:hint="eastAsia"/>
          <w:lang w:val="fr-FR" w:eastAsia="zh-TW"/>
        </w:rPr>
        <w:t>二罪俱發以重論</w:t>
      </w:r>
      <w:r w:rsidR="00D65CAD">
        <w:rPr>
          <w:rFonts w:eastAsia="新細明體" w:cs="Times New Roman"/>
          <w:lang w:val="fr-FR" w:eastAsia="zh-TW"/>
        </w:rPr>
        <w:t>)</w:t>
      </w:r>
      <w:r w:rsidR="00D65CAD">
        <w:rPr>
          <w:rStyle w:val="Marquenotebasdepage"/>
          <w:rFonts w:eastAsia="新細明體" w:cs="Times New Roman"/>
          <w:lang w:val="fr-FR" w:eastAsia="zh-TW"/>
        </w:rPr>
        <w:footnoteReference w:id="40"/>
      </w:r>
      <w:r w:rsidR="00D65CAD">
        <w:rPr>
          <w:rFonts w:eastAsia="新細明體" w:cs="Times New Roman"/>
          <w:lang w:val="fr-FR" w:eastAsia="zh-TW"/>
        </w:rPr>
        <w:t xml:space="preserve">. </w:t>
      </w:r>
      <w:r w:rsidR="006B6270">
        <w:rPr>
          <w:rFonts w:eastAsia="新細明體" w:cs="Times New Roman"/>
          <w:lang w:val="fr-FR" w:eastAsia="zh-TW"/>
        </w:rPr>
        <w:t xml:space="preserve">The echo </w:t>
      </w:r>
      <w:r w:rsidR="00C17436">
        <w:rPr>
          <w:rFonts w:eastAsia="新細明體" w:cs="Times New Roman"/>
          <w:lang w:val="fr-FR" w:eastAsia="zh-TW"/>
        </w:rPr>
        <w:t xml:space="preserve">between the two ideas developed </w:t>
      </w:r>
      <w:r w:rsidR="006B6270">
        <w:rPr>
          <w:rFonts w:eastAsia="新細明體" w:cs="Times New Roman"/>
          <w:lang w:val="fr-FR" w:eastAsia="zh-TW"/>
        </w:rPr>
        <w:t>here is very clear</w:t>
      </w:r>
      <w:r w:rsidR="0067164C">
        <w:rPr>
          <w:rFonts w:eastAsia="新細明體" w:cs="Times New Roman"/>
          <w:lang w:val="fr-FR" w:eastAsia="zh-TW"/>
        </w:rPr>
        <w:t xml:space="preserve"> and, in a sense, is in part reminiscent of what modern jurists refer to as “double jeopardy”. What this last expression indicates is the interdiction to prosecute a person a second time for a given crime after an acquittal or a prior conviction, or </w:t>
      </w:r>
      <w:r w:rsidR="00234383">
        <w:rPr>
          <w:rFonts w:eastAsia="新細明體" w:cs="Times New Roman"/>
          <w:lang w:val="fr-FR" w:eastAsia="zh-TW"/>
        </w:rPr>
        <w:t>to condemn someone to double pu</w:t>
      </w:r>
      <w:r w:rsidR="0067164C">
        <w:rPr>
          <w:rFonts w:eastAsia="新細明體" w:cs="Times New Roman"/>
          <w:lang w:val="fr-FR" w:eastAsia="zh-TW"/>
        </w:rPr>
        <w:t xml:space="preserve">nishment (or more) for the same offense. </w:t>
      </w:r>
      <w:r w:rsidR="00234383">
        <w:rPr>
          <w:rFonts w:eastAsia="新細明體" w:cs="Times New Roman"/>
          <w:lang w:val="fr-FR" w:eastAsia="zh-TW"/>
        </w:rPr>
        <w:t xml:space="preserve">In a different approach, what </w:t>
      </w:r>
      <w:r w:rsidR="0067164C">
        <w:rPr>
          <w:rFonts w:eastAsia="新細明體" w:cs="Times New Roman"/>
          <w:lang w:val="fr-FR" w:eastAsia="zh-TW"/>
        </w:rPr>
        <w:t xml:space="preserve">statute 26 </w:t>
      </w:r>
      <w:r w:rsidR="00234383">
        <w:rPr>
          <w:rFonts w:eastAsia="新細明體" w:cs="Times New Roman"/>
          <w:lang w:val="fr-FR" w:eastAsia="zh-TW"/>
        </w:rPr>
        <w:t xml:space="preserve">provides for is the interdiction of multiple convictions, and thus of multiple punishments, even in case </w:t>
      </w:r>
      <w:r w:rsidR="00FE3111">
        <w:rPr>
          <w:rFonts w:eastAsia="新細明體" w:cs="Times New Roman"/>
          <w:lang w:val="fr-FR" w:eastAsia="zh-TW"/>
        </w:rPr>
        <w:t>different</w:t>
      </w:r>
      <w:r w:rsidR="00234383">
        <w:rPr>
          <w:rFonts w:eastAsia="新細明體" w:cs="Times New Roman"/>
          <w:lang w:val="fr-FR" w:eastAsia="zh-TW"/>
        </w:rPr>
        <w:t xml:space="preserve"> crimes are discovered to have been comitted by the same individual. Of two crimes, rather than sentencing the culprit according to both and adding up the two punishments, only the most serious </w:t>
      </w:r>
      <w:r w:rsidR="005D4A11">
        <w:rPr>
          <w:rFonts w:eastAsia="新細明體" w:cs="Times New Roman"/>
          <w:lang w:val="fr-FR" w:eastAsia="zh-TW"/>
        </w:rPr>
        <w:t>was</w:t>
      </w:r>
      <w:r w:rsidR="00234383">
        <w:rPr>
          <w:rFonts w:eastAsia="新細明體" w:cs="Times New Roman"/>
          <w:lang w:val="fr-FR" w:eastAsia="zh-TW"/>
        </w:rPr>
        <w:t xml:space="preserve"> </w:t>
      </w:r>
      <w:r w:rsidR="005D4A11">
        <w:rPr>
          <w:rFonts w:eastAsia="新細明體" w:cs="Times New Roman"/>
          <w:lang w:val="fr-FR" w:eastAsia="zh-TW"/>
        </w:rPr>
        <w:t xml:space="preserve">to </w:t>
      </w:r>
      <w:r w:rsidR="00234383">
        <w:rPr>
          <w:rFonts w:eastAsia="新細明體" w:cs="Times New Roman"/>
          <w:lang w:val="fr-FR" w:eastAsia="zh-TW"/>
        </w:rPr>
        <w:t xml:space="preserve">be adjudicated. With the characteristic level of detail found throughout the Chinese </w:t>
      </w:r>
      <w:r w:rsidR="005D4A11">
        <w:rPr>
          <w:rFonts w:eastAsia="新細明體" w:cs="Times New Roman"/>
          <w:lang w:val="fr-FR" w:eastAsia="zh-TW"/>
        </w:rPr>
        <w:t xml:space="preserve">late imperial </w:t>
      </w:r>
      <w:r w:rsidR="00234383">
        <w:rPr>
          <w:rFonts w:eastAsia="新細明體" w:cs="Times New Roman"/>
          <w:lang w:val="fr-FR" w:eastAsia="zh-TW"/>
        </w:rPr>
        <w:t>code</w:t>
      </w:r>
      <w:r w:rsidR="005D4A11">
        <w:rPr>
          <w:rFonts w:eastAsia="新細明體" w:cs="Times New Roman"/>
          <w:lang w:val="fr-FR" w:eastAsia="zh-TW"/>
        </w:rPr>
        <w:t>s</w:t>
      </w:r>
      <w:r w:rsidR="00234383">
        <w:rPr>
          <w:rFonts w:eastAsia="新細明體" w:cs="Times New Roman"/>
          <w:lang w:val="fr-FR" w:eastAsia="zh-TW"/>
        </w:rPr>
        <w:t xml:space="preserve">, </w:t>
      </w:r>
      <w:r w:rsidR="00325E42">
        <w:rPr>
          <w:rFonts w:eastAsia="新細明體" w:cs="Times New Roman"/>
          <w:lang w:val="fr-FR" w:eastAsia="zh-TW"/>
        </w:rPr>
        <w:t>in this statute, the legislators also provided for</w:t>
      </w:r>
      <w:r w:rsidR="00234383">
        <w:rPr>
          <w:rFonts w:eastAsia="新細明體" w:cs="Times New Roman"/>
          <w:lang w:val="fr-FR" w:eastAsia="zh-TW"/>
        </w:rPr>
        <w:t xml:space="preserve"> </w:t>
      </w:r>
      <w:r w:rsidR="005D4A11">
        <w:rPr>
          <w:rFonts w:eastAsia="新細明體" w:cs="Times New Roman"/>
          <w:lang w:val="fr-FR" w:eastAsia="zh-TW"/>
        </w:rPr>
        <w:t xml:space="preserve">a </w:t>
      </w:r>
      <w:r w:rsidR="00234383">
        <w:rPr>
          <w:rFonts w:eastAsia="新細明體" w:cs="Times New Roman"/>
          <w:lang w:val="fr-FR" w:eastAsia="zh-TW"/>
        </w:rPr>
        <w:t xml:space="preserve">host of related </w:t>
      </w:r>
      <w:r w:rsidR="005D4A11">
        <w:rPr>
          <w:rFonts w:eastAsia="新細明體" w:cs="Times New Roman"/>
          <w:lang w:val="fr-FR" w:eastAsia="zh-TW"/>
        </w:rPr>
        <w:t>possibilities</w:t>
      </w:r>
      <w:r w:rsidR="00325E42">
        <w:rPr>
          <w:rStyle w:val="Marquenotebasdepage"/>
          <w:rFonts w:eastAsia="新細明體" w:cs="Times New Roman"/>
          <w:lang w:val="fr-FR" w:eastAsia="zh-TW"/>
        </w:rPr>
        <w:footnoteReference w:id="41"/>
      </w:r>
      <w:r w:rsidR="005D4A11">
        <w:rPr>
          <w:rFonts w:eastAsia="新細明體" w:cs="Times New Roman"/>
          <w:lang w:val="fr-FR" w:eastAsia="zh-TW"/>
        </w:rPr>
        <w:t xml:space="preserve">, thus conveying a sense of the very minute framing of the whole judiciary process as </w:t>
      </w:r>
      <w:r w:rsidR="00FE3111">
        <w:rPr>
          <w:rFonts w:eastAsia="新細明體" w:cs="Times New Roman"/>
          <w:lang w:val="fr-FR" w:eastAsia="zh-TW"/>
        </w:rPr>
        <w:t xml:space="preserve">they wished to see it </w:t>
      </w:r>
      <w:r w:rsidR="005D4A11">
        <w:rPr>
          <w:rFonts w:eastAsia="新細明體" w:cs="Times New Roman"/>
          <w:lang w:val="fr-FR" w:eastAsia="zh-TW"/>
        </w:rPr>
        <w:t xml:space="preserve">delineated </w:t>
      </w:r>
      <w:r w:rsidR="00FE3111">
        <w:rPr>
          <w:rFonts w:eastAsia="新細明體" w:cs="Times New Roman"/>
          <w:lang w:val="fr-FR" w:eastAsia="zh-TW"/>
        </w:rPr>
        <w:t>on paper</w:t>
      </w:r>
      <w:r w:rsidR="00D36653">
        <w:rPr>
          <w:rStyle w:val="Marquenotebasdepage"/>
          <w:rFonts w:eastAsia="新細明體" w:cs="Times New Roman"/>
          <w:lang w:val="fr-FR" w:eastAsia="zh-TW"/>
        </w:rPr>
        <w:footnoteReference w:id="42"/>
      </w:r>
      <w:r w:rsidR="00FE3111">
        <w:rPr>
          <w:rFonts w:eastAsia="新細明體" w:cs="Times New Roman"/>
          <w:lang w:val="fr-FR" w:eastAsia="zh-TW"/>
        </w:rPr>
        <w:t>.</w:t>
      </w:r>
    </w:p>
    <w:p w14:paraId="3DA947AF" w14:textId="7D3DDE8A" w:rsidR="00A912D0" w:rsidRDefault="00FE3111" w:rsidP="001C6EAC">
      <w:pPr>
        <w:ind w:firstLine="284"/>
        <w:jc w:val="both"/>
        <w:rPr>
          <w:rFonts w:cs="Times New Roman"/>
          <w:lang w:val="fr-FR"/>
        </w:rPr>
      </w:pPr>
      <w:r>
        <w:rPr>
          <w:rFonts w:eastAsia="新細明體" w:cs="Times New Roman"/>
          <w:lang w:val="fr-FR" w:eastAsia="zh-TW"/>
        </w:rPr>
        <w:t xml:space="preserve">The second link </w:t>
      </w:r>
      <w:r w:rsidR="00D36653">
        <w:rPr>
          <w:rFonts w:eastAsia="新細明體" w:cs="Times New Roman"/>
          <w:lang w:val="fr-FR" w:eastAsia="zh-TW"/>
        </w:rPr>
        <w:t xml:space="preserve">that can be drawn is between the contents of the third paragraph of the </w:t>
      </w:r>
      <w:r w:rsidR="00D36653" w:rsidRPr="00D36653">
        <w:rPr>
          <w:rFonts w:eastAsia="新細明體" w:cs="Times New Roman"/>
          <w:i/>
          <w:lang w:val="fr-FR" w:eastAsia="zh-TW"/>
        </w:rPr>
        <w:t>Bentiao bie you zuiming</w:t>
      </w:r>
      <w:r w:rsidR="00D36653">
        <w:rPr>
          <w:rFonts w:eastAsia="新細明體" w:cs="Times New Roman"/>
          <w:lang w:val="fr-FR" w:eastAsia="zh-TW"/>
        </w:rPr>
        <w:t xml:space="preserve"> statute, which includes our companion notion of </w:t>
      </w:r>
      <w:r w:rsidR="00D36653" w:rsidRPr="00D36653">
        <w:rPr>
          <w:rFonts w:eastAsia="新細明體" w:cs="Times New Roman"/>
          <w:i/>
          <w:lang w:val="fr-FR" w:eastAsia="zh-TW"/>
        </w:rPr>
        <w:t>fanshi bu zhi</w:t>
      </w:r>
      <w:r w:rsidR="00D36653">
        <w:rPr>
          <w:rFonts w:eastAsia="新細明體" w:cs="Times New Roman"/>
          <w:lang w:val="fr-FR" w:eastAsia="zh-TW"/>
        </w:rPr>
        <w:t>, and the principle expounded in statute 23 (Qing code)</w:t>
      </w:r>
      <w:r w:rsidR="00277E6A">
        <w:rPr>
          <w:rStyle w:val="Marquenotebasdepage"/>
          <w:rFonts w:eastAsia="新細明體" w:cs="Times New Roman"/>
          <w:lang w:val="fr-FR" w:eastAsia="zh-TW"/>
        </w:rPr>
        <w:footnoteReference w:id="43"/>
      </w:r>
      <w:r w:rsidR="00D36653">
        <w:rPr>
          <w:rFonts w:eastAsia="新細明體" w:cs="Times New Roman"/>
          <w:lang w:val="fr-FR" w:eastAsia="zh-TW"/>
        </w:rPr>
        <w:t xml:space="preserve">, entitled </w:t>
      </w:r>
      <w:r w:rsidR="00277E6A">
        <w:rPr>
          <w:rFonts w:eastAsia="新細明體" w:cs="Times New Roman"/>
          <w:lang w:val="fr-FR" w:eastAsia="zh-TW"/>
        </w:rPr>
        <w:t>“Committing crimes before becoming aged or maimed” (</w:t>
      </w:r>
      <w:r w:rsidR="00277E6A" w:rsidRPr="00277E6A">
        <w:rPr>
          <w:rFonts w:eastAsia="新細明體" w:cs="Times New Roman"/>
          <w:i/>
          <w:lang w:val="fr-FR" w:eastAsia="zh-TW"/>
        </w:rPr>
        <w:t>Fanzui shi wei laoji</w:t>
      </w:r>
      <w:r w:rsidR="00277E6A">
        <w:rPr>
          <w:rFonts w:eastAsia="新細明體" w:cs="Times New Roman"/>
          <w:lang w:val="fr-FR" w:eastAsia="zh-TW"/>
        </w:rPr>
        <w:t xml:space="preserve"> </w:t>
      </w:r>
      <w:r w:rsidR="00277E6A">
        <w:rPr>
          <w:rFonts w:ascii="新細明體" w:eastAsia="新細明體" w:hAnsi="新細明體" w:cs="新細明體" w:hint="eastAsia"/>
          <w:lang w:val="fr-FR" w:eastAsia="zh-TW"/>
        </w:rPr>
        <w:t>犯罪時未老疾</w:t>
      </w:r>
      <w:r w:rsidR="00277E6A">
        <w:rPr>
          <w:rFonts w:eastAsia="新細明體" w:cs="Times New Roman"/>
          <w:lang w:val="fr-FR" w:eastAsia="zh-TW"/>
        </w:rPr>
        <w:t>)</w:t>
      </w:r>
      <w:r w:rsidR="00277E6A">
        <w:rPr>
          <w:rStyle w:val="Marquenotebasdepage"/>
          <w:rFonts w:eastAsia="新細明體" w:cs="Times New Roman"/>
          <w:lang w:val="fr-FR" w:eastAsia="zh-TW"/>
        </w:rPr>
        <w:footnoteReference w:id="44"/>
      </w:r>
      <w:r w:rsidR="00277E6A">
        <w:rPr>
          <w:rFonts w:eastAsia="新細明體" w:cs="Times New Roman"/>
          <w:lang w:val="fr-FR" w:eastAsia="zh-TW"/>
        </w:rPr>
        <w:t xml:space="preserve">. </w:t>
      </w:r>
      <w:r w:rsidR="00F82720">
        <w:rPr>
          <w:rFonts w:eastAsia="新細明體" w:cs="Times New Roman"/>
          <w:lang w:val="fr-FR" w:eastAsia="zh-TW"/>
        </w:rPr>
        <w:t xml:space="preserve">Here, the implicit notion that brings together these two statutes </w:t>
      </w:r>
      <w:r w:rsidR="00CA70C1">
        <w:rPr>
          <w:rFonts w:eastAsia="新細明體" w:cs="Times New Roman"/>
          <w:lang w:val="fr-FR" w:eastAsia="zh-TW"/>
        </w:rPr>
        <w:t xml:space="preserve">is related to the sympathy or pity </w:t>
      </w:r>
      <w:r w:rsidR="00F82720">
        <w:rPr>
          <w:rFonts w:eastAsia="新細明體" w:cs="Times New Roman"/>
          <w:lang w:val="fr-FR" w:eastAsia="zh-TW"/>
        </w:rPr>
        <w:t xml:space="preserve">that </w:t>
      </w:r>
      <w:r w:rsidR="00CA70C1">
        <w:rPr>
          <w:rFonts w:eastAsia="新細明體" w:cs="Times New Roman"/>
          <w:lang w:val="fr-FR" w:eastAsia="zh-TW"/>
        </w:rPr>
        <w:t>ought to be shown towards some criminals because of their peculiar situation</w:t>
      </w:r>
      <w:r w:rsidR="009B55FE">
        <w:rPr>
          <w:rFonts w:eastAsia="新細明體" w:cs="Times New Roman"/>
          <w:lang w:val="fr-FR" w:eastAsia="zh-TW"/>
        </w:rPr>
        <w:t xml:space="preserve"> at the time of their deed.</w:t>
      </w:r>
      <w:r w:rsidR="00CA70C1">
        <w:rPr>
          <w:rFonts w:eastAsia="新細明體" w:cs="Times New Roman"/>
          <w:lang w:val="fr-FR" w:eastAsia="zh-TW"/>
        </w:rPr>
        <w:t xml:space="preserve"> </w:t>
      </w:r>
      <w:r w:rsidR="00F82720">
        <w:rPr>
          <w:rFonts w:eastAsia="新細明體" w:cs="Times New Roman"/>
          <w:lang w:val="fr-FR" w:eastAsia="zh-TW"/>
        </w:rPr>
        <w:t>Statute 23, and it</w:t>
      </w:r>
      <w:r w:rsidR="00D278D4">
        <w:rPr>
          <w:rFonts w:eastAsia="新細明體" w:cs="Times New Roman"/>
          <w:lang w:val="fr-FR" w:eastAsia="zh-TW"/>
        </w:rPr>
        <w:t>s counterpart, statute 22 – “Re</w:t>
      </w:r>
      <w:r w:rsidR="00F82720">
        <w:rPr>
          <w:rFonts w:eastAsia="新細明體" w:cs="Times New Roman"/>
          <w:lang w:val="fr-FR" w:eastAsia="zh-TW"/>
        </w:rPr>
        <w:t>de</w:t>
      </w:r>
      <w:r w:rsidR="00D278D4">
        <w:rPr>
          <w:rFonts w:eastAsia="新細明體" w:cs="Times New Roman"/>
          <w:lang w:val="fr-FR" w:eastAsia="zh-TW"/>
        </w:rPr>
        <w:t>e</w:t>
      </w:r>
      <w:r w:rsidR="00F82720">
        <w:rPr>
          <w:rFonts w:eastAsia="新細明體" w:cs="Times New Roman"/>
          <w:lang w:val="fr-FR" w:eastAsia="zh-TW"/>
        </w:rPr>
        <w:t>ming punishment by those who are aged, juvenile, or disabled” (</w:t>
      </w:r>
      <w:r w:rsidR="00F82720" w:rsidRPr="00F82720">
        <w:rPr>
          <w:rFonts w:eastAsia="新細明體" w:cs="Times New Roman"/>
          <w:i/>
          <w:lang w:val="fr-FR" w:eastAsia="zh-TW"/>
        </w:rPr>
        <w:t>Laoxiao feiji shoushu</w:t>
      </w:r>
      <w:r w:rsidR="00F82720">
        <w:rPr>
          <w:rFonts w:eastAsia="新細明體" w:cs="Times New Roman"/>
          <w:lang w:val="fr-FR" w:eastAsia="zh-TW"/>
        </w:rPr>
        <w:t xml:space="preserve"> </w:t>
      </w:r>
      <w:r w:rsidR="00F82720">
        <w:rPr>
          <w:rFonts w:ascii="新細明體" w:eastAsia="新細明體" w:hAnsi="新細明體" w:cs="新細明體" w:hint="eastAsia"/>
          <w:lang w:val="fr-FR" w:eastAsia="zh-TW"/>
        </w:rPr>
        <w:t>老小廢疾收贖</w:t>
      </w:r>
      <w:r w:rsidR="00F82720">
        <w:rPr>
          <w:rFonts w:eastAsia="新細明體" w:cs="Times New Roman"/>
          <w:lang w:val="fr-FR" w:eastAsia="zh-TW"/>
        </w:rPr>
        <w:t>)</w:t>
      </w:r>
      <w:r w:rsidR="00CA70C1">
        <w:rPr>
          <w:rStyle w:val="Marquenotebasdepage"/>
          <w:rFonts w:eastAsia="新細明體" w:cs="Times New Roman"/>
          <w:lang w:val="fr-FR" w:eastAsia="zh-TW"/>
        </w:rPr>
        <w:footnoteReference w:id="45"/>
      </w:r>
      <w:r w:rsidR="00F82720">
        <w:rPr>
          <w:rFonts w:eastAsia="新細明體" w:cs="Times New Roman"/>
          <w:lang w:val="fr-FR" w:eastAsia="zh-TW"/>
        </w:rPr>
        <w:t xml:space="preserve"> – </w:t>
      </w:r>
      <w:r w:rsidR="009B55FE">
        <w:rPr>
          <w:rFonts w:eastAsia="新細明體" w:cs="Times New Roman"/>
          <w:lang w:val="fr-FR" w:eastAsia="zh-TW"/>
        </w:rPr>
        <w:t xml:space="preserve">provide for crimes committed by elderlies and juveniles (respectively 70 years of age and above, and 15 years of age and under) and by individuals suffering of physical handicap. </w:t>
      </w:r>
      <w:r w:rsidR="00D278D4">
        <w:rPr>
          <w:rFonts w:eastAsia="新細明體" w:cs="Times New Roman"/>
          <w:lang w:val="fr-FR" w:eastAsia="zh-TW"/>
        </w:rPr>
        <w:t xml:space="preserve">In such circumstances, substatute 22 </w:t>
      </w:r>
      <w:r w:rsidR="00E96B1B">
        <w:rPr>
          <w:rFonts w:eastAsia="新細明體" w:cs="Times New Roman"/>
          <w:lang w:val="fr-FR" w:eastAsia="zh-TW"/>
        </w:rPr>
        <w:t xml:space="preserve">states that </w:t>
      </w:r>
      <w:r w:rsidR="006B2EDA">
        <w:rPr>
          <w:rFonts w:eastAsia="新細明體" w:cs="Times New Roman"/>
          <w:lang w:val="fr-FR" w:eastAsia="zh-TW"/>
        </w:rPr>
        <w:t>the</w:t>
      </w:r>
      <w:r w:rsidR="00D278D4">
        <w:rPr>
          <w:rFonts w:eastAsia="新細明體" w:cs="Times New Roman"/>
          <w:lang w:val="fr-FR" w:eastAsia="zh-TW"/>
        </w:rPr>
        <w:t xml:space="preserve"> individuals </w:t>
      </w:r>
      <w:r w:rsidR="006B2EDA">
        <w:rPr>
          <w:rFonts w:eastAsia="新細明體" w:cs="Times New Roman"/>
          <w:lang w:val="fr-FR" w:eastAsia="zh-TW"/>
        </w:rPr>
        <w:t xml:space="preserve">involved </w:t>
      </w:r>
      <w:r w:rsidR="00E96B1B">
        <w:rPr>
          <w:rFonts w:eastAsia="新細明體" w:cs="Times New Roman"/>
          <w:lang w:val="fr-FR" w:eastAsia="zh-TW"/>
        </w:rPr>
        <w:t xml:space="preserve">ought </w:t>
      </w:r>
      <w:r w:rsidR="00D278D4">
        <w:rPr>
          <w:rFonts w:eastAsia="新細明體" w:cs="Times New Roman"/>
          <w:lang w:val="fr-FR" w:eastAsia="zh-TW"/>
        </w:rPr>
        <w:t>to be granted the possibility to redeem their punishment against a given sum of cash</w:t>
      </w:r>
      <w:r w:rsidR="006B2EDA">
        <w:rPr>
          <w:rFonts w:eastAsia="新細明體" w:cs="Times New Roman"/>
          <w:lang w:val="fr-FR" w:eastAsia="zh-TW"/>
        </w:rPr>
        <w:t xml:space="preserve"> (</w:t>
      </w:r>
      <w:r w:rsidR="006B2EDA" w:rsidRPr="006B2EDA">
        <w:rPr>
          <w:rFonts w:eastAsia="新細明體" w:cs="Times New Roman"/>
          <w:i/>
          <w:lang w:val="fr-FR" w:eastAsia="zh-TW"/>
        </w:rPr>
        <w:t>shoushu</w:t>
      </w:r>
      <w:r w:rsidR="006B2EDA">
        <w:rPr>
          <w:rFonts w:eastAsia="新細明體" w:cs="Times New Roman"/>
          <w:lang w:val="fr-FR" w:eastAsia="zh-TW"/>
        </w:rPr>
        <w:t xml:space="preserve"> </w:t>
      </w:r>
      <w:r w:rsidR="006B2EDA">
        <w:rPr>
          <w:rFonts w:ascii="新細明體" w:eastAsia="新細明體" w:hAnsi="新細明體" w:cs="新細明體" w:hint="eastAsia"/>
          <w:lang w:val="fr-FR" w:eastAsia="zh-TW"/>
        </w:rPr>
        <w:t>收贖</w:t>
      </w:r>
      <w:r w:rsidR="006B2EDA">
        <w:rPr>
          <w:rFonts w:eastAsia="新細明體" w:cs="Times New Roman"/>
          <w:lang w:val="fr-FR" w:eastAsia="zh-TW"/>
        </w:rPr>
        <w:t>)</w:t>
      </w:r>
      <w:r w:rsidR="00D278D4">
        <w:rPr>
          <w:rFonts w:eastAsia="新細明體" w:cs="Times New Roman"/>
          <w:lang w:val="fr-FR" w:eastAsia="zh-TW"/>
        </w:rPr>
        <w:t>. Here again, a very subtle gradation is included, balancing the age or the degree of disability and the type of wrongdoing committed. What statute 23</w:t>
      </w:r>
      <w:r w:rsidR="00E96B1B">
        <w:rPr>
          <w:rFonts w:eastAsia="新細明體" w:cs="Times New Roman"/>
          <w:lang w:val="fr-FR" w:eastAsia="zh-TW"/>
        </w:rPr>
        <w:t xml:space="preserve"> tackles</w:t>
      </w:r>
      <w:r w:rsidR="00D278D4">
        <w:rPr>
          <w:rFonts w:eastAsia="新細明體" w:cs="Times New Roman"/>
          <w:lang w:val="fr-FR" w:eastAsia="zh-TW"/>
        </w:rPr>
        <w:t xml:space="preserve">, in turn, is </w:t>
      </w:r>
      <w:r w:rsidR="00E96B1B">
        <w:rPr>
          <w:rFonts w:eastAsia="新細明體" w:cs="Times New Roman"/>
          <w:lang w:val="fr-FR" w:eastAsia="zh-TW"/>
        </w:rPr>
        <w:t xml:space="preserve">the question of </w:t>
      </w:r>
      <w:r w:rsidR="00D278D4">
        <w:rPr>
          <w:rFonts w:eastAsia="新細明體" w:cs="Times New Roman"/>
          <w:lang w:val="fr-FR" w:eastAsia="zh-TW"/>
        </w:rPr>
        <w:t xml:space="preserve">how to procede </w:t>
      </w:r>
      <w:r w:rsidR="00E96B1B">
        <w:rPr>
          <w:rFonts w:eastAsia="新細明體" w:cs="Times New Roman"/>
          <w:lang w:val="fr-FR" w:eastAsia="zh-TW"/>
        </w:rPr>
        <w:t xml:space="preserve">with the adjudication </w:t>
      </w:r>
      <w:r w:rsidR="00D278D4">
        <w:rPr>
          <w:rFonts w:eastAsia="新細明體" w:cs="Times New Roman"/>
          <w:lang w:val="fr-FR" w:eastAsia="zh-TW"/>
        </w:rPr>
        <w:t xml:space="preserve">when </w:t>
      </w:r>
      <w:r w:rsidR="00E96B1B">
        <w:rPr>
          <w:rFonts w:eastAsia="新細明體" w:cs="Times New Roman"/>
          <w:lang w:val="fr-FR" w:eastAsia="zh-TW"/>
        </w:rPr>
        <w:t xml:space="preserve">a crime was committed before the perpetrator reached the age of 70, but discovered only after, or if the criminal was a youngster when he committed his deed, which was discovered only after he or she came of age (for disabled, the limit being set at the articulation of the period preceding and subsequent to their suffering a </w:t>
      </w:r>
      <w:r w:rsidR="002D4735">
        <w:rPr>
          <w:rFonts w:eastAsia="新細明體" w:cs="Times New Roman"/>
          <w:lang w:val="fr-FR" w:eastAsia="zh-TW"/>
        </w:rPr>
        <w:t xml:space="preserve">permanent </w:t>
      </w:r>
      <w:r w:rsidR="00E96B1B">
        <w:rPr>
          <w:rFonts w:eastAsia="新細明體" w:cs="Times New Roman"/>
          <w:lang w:val="fr-FR" w:eastAsia="zh-TW"/>
        </w:rPr>
        <w:t xml:space="preserve">disability). </w:t>
      </w:r>
      <w:r w:rsidR="004C3723">
        <w:rPr>
          <w:rFonts w:cs="Times New Roman"/>
          <w:lang w:val="fr-FR"/>
        </w:rPr>
        <w:t>I</w:t>
      </w:r>
      <w:r w:rsidR="006D4E4C">
        <w:rPr>
          <w:rFonts w:cs="Times New Roman"/>
          <w:lang w:val="fr-FR"/>
        </w:rPr>
        <w:t xml:space="preserve">n such instances, the judicial standpoint was to resort to </w:t>
      </w:r>
      <w:r w:rsidR="004C3723">
        <w:rPr>
          <w:rFonts w:cs="Times New Roman"/>
          <w:lang w:val="fr-FR"/>
        </w:rPr>
        <w:t>clemency</w:t>
      </w:r>
      <w:r w:rsidR="006D4E4C">
        <w:rPr>
          <w:rFonts w:cs="Times New Roman"/>
          <w:lang w:val="fr-FR"/>
        </w:rPr>
        <w:t xml:space="preserve">, </w:t>
      </w:r>
      <w:r w:rsidR="00FF4052">
        <w:rPr>
          <w:rFonts w:cs="Times New Roman"/>
          <w:lang w:val="fr-FR"/>
        </w:rPr>
        <w:t>in other words, and along the gradation set in statute 22, to sentence according to the specific provisions for elderlies, youngsters and disabled.</w:t>
      </w:r>
    </w:p>
    <w:p w14:paraId="32AE4871" w14:textId="631DE905" w:rsidR="001C6EAC" w:rsidRDefault="002D4735" w:rsidP="001C6EAC">
      <w:pPr>
        <w:ind w:firstLine="284"/>
        <w:jc w:val="both"/>
        <w:rPr>
          <w:rFonts w:cs="Times New Roman"/>
          <w:lang w:val="fr-FR"/>
        </w:rPr>
      </w:pPr>
      <w:r>
        <w:rPr>
          <w:rFonts w:cs="Times New Roman"/>
          <w:lang w:val="fr-FR"/>
        </w:rPr>
        <w:t>Although tempting, it would be too far-stretched to consider unawareness of one’s deeds as an underpinning for the leniency extended to these categories of individuals</w:t>
      </w:r>
      <w:r w:rsidR="00954097">
        <w:rPr>
          <w:rFonts w:cs="Times New Roman"/>
          <w:lang w:val="fr-FR"/>
        </w:rPr>
        <w:t xml:space="preserve">. The legislators </w:t>
      </w:r>
      <w:r w:rsidR="00381474">
        <w:rPr>
          <w:rFonts w:cs="Times New Roman"/>
          <w:lang w:val="fr-FR"/>
        </w:rPr>
        <w:t xml:space="preserve">may well </w:t>
      </w:r>
      <w:r w:rsidR="00954097">
        <w:rPr>
          <w:rFonts w:cs="Times New Roman"/>
          <w:lang w:val="fr-FR"/>
        </w:rPr>
        <w:t xml:space="preserve">have had this idea in mind, especially when discussing the cases of seniors over 90 and children under 7, </w:t>
      </w:r>
      <w:r w:rsidR="00381474">
        <w:rPr>
          <w:rFonts w:cs="Times New Roman"/>
          <w:lang w:val="fr-FR"/>
        </w:rPr>
        <w:t xml:space="preserve">both </w:t>
      </w:r>
      <w:r w:rsidR="00954097">
        <w:rPr>
          <w:rFonts w:cs="Times New Roman"/>
          <w:lang w:val="fr-FR"/>
        </w:rPr>
        <w:t>described as having less discernment (</w:t>
      </w:r>
      <w:r w:rsidR="00954097" w:rsidRPr="00954097">
        <w:rPr>
          <w:rFonts w:cs="Times New Roman"/>
          <w:i/>
          <w:lang w:val="fr-FR"/>
        </w:rPr>
        <w:t>shao you zhili</w:t>
      </w:r>
      <w:r w:rsidR="00954097">
        <w:rPr>
          <w:rFonts w:cs="Times New Roman"/>
          <w:lang w:val="fr-FR"/>
        </w:rPr>
        <w:t xml:space="preserve"> </w:t>
      </w:r>
      <w:r w:rsidR="00954097">
        <w:rPr>
          <w:rFonts w:ascii="新細明體" w:eastAsia="新細明體" w:hAnsi="新細明體" w:cs="新細明體" w:hint="eastAsia"/>
          <w:lang w:val="fr-FR" w:eastAsia="zh-TW"/>
        </w:rPr>
        <w:t>少有智力</w:t>
      </w:r>
      <w:r w:rsidR="00954097">
        <w:rPr>
          <w:rFonts w:cs="Times New Roman"/>
          <w:lang w:val="fr-FR"/>
        </w:rPr>
        <w:t>) and having possibly accomplished their deed under the influence of a third party (</w:t>
      </w:r>
      <w:r w:rsidR="00381474" w:rsidRPr="00381474">
        <w:rPr>
          <w:rFonts w:cs="Times New Roman"/>
          <w:i/>
          <w:lang w:val="fr-FR"/>
        </w:rPr>
        <w:t>ruo you jiaoling zhi zhe</w:t>
      </w:r>
      <w:r w:rsidR="00381474">
        <w:rPr>
          <w:rFonts w:cs="Times New Roman"/>
          <w:lang w:val="fr-FR"/>
        </w:rPr>
        <w:t xml:space="preserve"> </w:t>
      </w:r>
      <w:r w:rsidR="00381474">
        <w:rPr>
          <w:rFonts w:ascii="新細明體" w:eastAsia="新細明體" w:hAnsi="新細明體" w:cs="新細明體" w:hint="eastAsia"/>
          <w:lang w:val="fr-FR" w:eastAsia="zh-TW"/>
        </w:rPr>
        <w:t>若</w:t>
      </w:r>
      <w:r w:rsidR="00954097">
        <w:rPr>
          <w:rFonts w:ascii="新細明體" w:eastAsia="新細明體" w:hAnsi="新細明體" w:cs="新細明體" w:hint="eastAsia"/>
          <w:lang w:val="fr-FR" w:eastAsia="zh-TW"/>
        </w:rPr>
        <w:t>有教令</w:t>
      </w:r>
      <w:r w:rsidR="00381474">
        <w:rPr>
          <w:rFonts w:ascii="新細明體" w:eastAsia="新細明體" w:hAnsi="新細明體" w:cs="新細明體" w:hint="eastAsia"/>
          <w:lang w:val="fr-FR" w:eastAsia="zh-TW"/>
        </w:rPr>
        <w:t>之</w:t>
      </w:r>
      <w:r w:rsidR="00954097">
        <w:rPr>
          <w:rFonts w:ascii="新細明體" w:eastAsia="新細明體" w:hAnsi="新細明體" w:cs="新細明體" w:hint="eastAsia"/>
          <w:lang w:val="fr-FR" w:eastAsia="zh-TW"/>
        </w:rPr>
        <w:t>者</w:t>
      </w:r>
      <w:r w:rsidR="00954097">
        <w:rPr>
          <w:rFonts w:cs="Times New Roman"/>
          <w:lang w:val="fr-FR"/>
        </w:rPr>
        <w:t>)</w:t>
      </w:r>
      <w:r w:rsidR="00381474">
        <w:rPr>
          <w:rStyle w:val="Marquenotebasdepage"/>
          <w:rFonts w:cs="Times New Roman"/>
          <w:lang w:val="fr-FR"/>
        </w:rPr>
        <w:footnoteReference w:id="46"/>
      </w:r>
      <w:r w:rsidR="00381474">
        <w:rPr>
          <w:rFonts w:cs="Times New Roman"/>
          <w:lang w:val="fr-FR"/>
        </w:rPr>
        <w:t xml:space="preserve">. But the absence of any allusion to mental illness, </w:t>
      </w:r>
      <w:r w:rsidR="00A912D0">
        <w:rPr>
          <w:rFonts w:cs="Times New Roman"/>
          <w:lang w:val="fr-FR"/>
        </w:rPr>
        <w:t xml:space="preserve">which is </w:t>
      </w:r>
      <w:r w:rsidR="00381474">
        <w:rPr>
          <w:rFonts w:cs="Times New Roman"/>
          <w:lang w:val="fr-FR"/>
        </w:rPr>
        <w:t>not even listed among the disabilities here</w:t>
      </w:r>
      <w:r w:rsidR="00A912D0">
        <w:rPr>
          <w:rFonts w:cs="Times New Roman"/>
          <w:lang w:val="fr-FR"/>
        </w:rPr>
        <w:t xml:space="preserve">, does not allow for a strong argument to be made. </w:t>
      </w:r>
      <w:r w:rsidR="00C93436">
        <w:rPr>
          <w:rFonts w:cs="Times New Roman"/>
          <w:lang w:val="fr-FR"/>
        </w:rPr>
        <w:t>Thus</w:t>
      </w:r>
      <w:r w:rsidR="00A912D0">
        <w:rPr>
          <w:rFonts w:cs="Times New Roman"/>
          <w:lang w:val="fr-FR"/>
        </w:rPr>
        <w:t xml:space="preserve">, it is probably safer to consider that the link drawn between the notion of </w:t>
      </w:r>
      <w:r w:rsidR="00A912D0" w:rsidRPr="00A912D0">
        <w:rPr>
          <w:rFonts w:cs="Times New Roman"/>
          <w:i/>
          <w:lang w:val="fr-FR"/>
        </w:rPr>
        <w:t>fanshi bu zhi</w:t>
      </w:r>
      <w:r w:rsidR="00A912D0">
        <w:rPr>
          <w:rFonts w:cs="Times New Roman"/>
          <w:lang w:val="fr-FR"/>
        </w:rPr>
        <w:t xml:space="preserve"> and the contents of statute 23 in the comments to the Qing code translated by Philastre</w:t>
      </w:r>
      <w:r w:rsidR="004E0D8D">
        <w:rPr>
          <w:rFonts w:cs="Times New Roman"/>
          <w:lang w:val="fr-FR"/>
        </w:rPr>
        <w:t>,</w:t>
      </w:r>
      <w:r w:rsidR="00A912D0">
        <w:rPr>
          <w:rFonts w:cs="Times New Roman"/>
          <w:lang w:val="fr-FR"/>
        </w:rPr>
        <w:t xml:space="preserve"> </w:t>
      </w:r>
      <w:r w:rsidR="004E0D8D">
        <w:rPr>
          <w:rFonts w:cs="Times New Roman"/>
          <w:lang w:val="fr-FR"/>
        </w:rPr>
        <w:t xml:space="preserve">is </w:t>
      </w:r>
      <w:r w:rsidR="00A912D0">
        <w:rPr>
          <w:rFonts w:cs="Times New Roman"/>
          <w:lang w:val="fr-FR"/>
        </w:rPr>
        <w:t xml:space="preserve">indeed </w:t>
      </w:r>
      <w:r w:rsidR="004E0D8D">
        <w:rPr>
          <w:rFonts w:cs="Times New Roman"/>
          <w:lang w:val="fr-FR"/>
        </w:rPr>
        <w:t xml:space="preserve">associated to </w:t>
      </w:r>
      <w:r w:rsidR="00A912D0">
        <w:rPr>
          <w:rFonts w:cs="Times New Roman"/>
          <w:lang w:val="fr-FR"/>
        </w:rPr>
        <w:t xml:space="preserve">the </w:t>
      </w:r>
      <w:r w:rsidR="00C93436">
        <w:rPr>
          <w:rFonts w:cs="Times New Roman"/>
          <w:lang w:val="fr-FR"/>
        </w:rPr>
        <w:t xml:space="preserve">sympathy some specific categories of criminals could raise for themselves, </w:t>
      </w:r>
      <w:r w:rsidR="006A3598">
        <w:rPr>
          <w:rFonts w:cs="Times New Roman"/>
          <w:lang w:val="fr-FR"/>
        </w:rPr>
        <w:t xml:space="preserve">an aspect which echoes with </w:t>
      </w:r>
      <w:r w:rsidR="00C93436">
        <w:rPr>
          <w:rFonts w:cs="Times New Roman"/>
          <w:lang w:val="fr-FR"/>
        </w:rPr>
        <w:t>Lei Menglin’s remark quoted above.</w:t>
      </w:r>
    </w:p>
    <w:p w14:paraId="485245C6" w14:textId="04130F4A" w:rsidR="00F42414" w:rsidRDefault="00F42414" w:rsidP="001C6EAC">
      <w:pPr>
        <w:ind w:firstLine="284"/>
        <w:jc w:val="both"/>
        <w:rPr>
          <w:rFonts w:cs="Times New Roman"/>
          <w:lang w:val="fr-FR"/>
        </w:rPr>
      </w:pPr>
      <w:r>
        <w:rPr>
          <w:rFonts w:cs="Times New Roman"/>
          <w:lang w:val="fr-FR"/>
        </w:rPr>
        <w:t xml:space="preserve">At the end of this overview of </w:t>
      </w:r>
      <w:r w:rsidR="006A3598">
        <w:rPr>
          <w:rFonts w:cs="Times New Roman"/>
          <w:lang w:val="fr-FR"/>
        </w:rPr>
        <w:t xml:space="preserve">the way the notion of </w:t>
      </w:r>
      <w:r w:rsidR="006A3598" w:rsidRPr="006A3598">
        <w:rPr>
          <w:rFonts w:cs="Times New Roman"/>
          <w:i/>
          <w:lang w:val="fr-FR"/>
        </w:rPr>
        <w:t>fanshi bu zhi</w:t>
      </w:r>
      <w:r w:rsidR="006A3598">
        <w:rPr>
          <w:rFonts w:cs="Times New Roman"/>
          <w:lang w:val="fr-FR"/>
        </w:rPr>
        <w:t xml:space="preserve"> and the statute that encloses it resonate with the rest of China’s late imperial legal construct, </w:t>
      </w:r>
      <w:r w:rsidR="00EB5599">
        <w:rPr>
          <w:rFonts w:cs="Times New Roman"/>
          <w:lang w:val="fr-FR"/>
        </w:rPr>
        <w:t>we find ourselves</w:t>
      </w:r>
      <w:r w:rsidR="00DB13F4">
        <w:rPr>
          <w:rFonts w:cs="Times New Roman"/>
          <w:lang w:val="fr-FR"/>
        </w:rPr>
        <w:t>,</w:t>
      </w:r>
      <w:r w:rsidR="00DB13F4" w:rsidRPr="00DB13F4">
        <w:rPr>
          <w:rFonts w:cs="Times New Roman"/>
          <w:lang w:val="fr-FR"/>
        </w:rPr>
        <w:t xml:space="preserve"> </w:t>
      </w:r>
      <w:r w:rsidR="00DB13F4">
        <w:rPr>
          <w:rFonts w:cs="Times New Roman"/>
          <w:lang w:val="fr-FR"/>
        </w:rPr>
        <w:t xml:space="preserve">by and large, </w:t>
      </w:r>
      <w:r w:rsidR="00EB5599">
        <w:rPr>
          <w:rFonts w:cs="Times New Roman"/>
          <w:lang w:val="fr-FR"/>
        </w:rPr>
        <w:t xml:space="preserve">facing once again </w:t>
      </w:r>
      <w:r>
        <w:rPr>
          <w:rFonts w:cs="Times New Roman"/>
          <w:lang w:val="fr-FR"/>
        </w:rPr>
        <w:t xml:space="preserve">the question of criminal intent and its correlate, penal responsibility. </w:t>
      </w:r>
      <w:r w:rsidR="00EB5599">
        <w:rPr>
          <w:rFonts w:cs="Times New Roman"/>
          <w:lang w:val="fr-FR"/>
        </w:rPr>
        <w:t xml:space="preserve">In this specific sphere of legal thought, Chinese jurists have </w:t>
      </w:r>
      <w:r w:rsidR="00372F6A">
        <w:rPr>
          <w:rFonts w:cs="Times New Roman"/>
          <w:lang w:val="fr-FR"/>
        </w:rPr>
        <w:t>made important contributions, reflected in the sophisticated architecture of criminal liability one can find</w:t>
      </w:r>
      <w:r w:rsidR="00DB13F4">
        <w:rPr>
          <w:rFonts w:cs="Times New Roman"/>
          <w:lang w:val="fr-FR"/>
        </w:rPr>
        <w:t xml:space="preserve"> exposed</w:t>
      </w:r>
      <w:r w:rsidR="00372F6A">
        <w:rPr>
          <w:rFonts w:cs="Times New Roman"/>
          <w:lang w:val="fr-FR"/>
        </w:rPr>
        <w:t xml:space="preserve">, among others, in the codes of the late imperial period. Providing a detailed description of it here would prove a task far exceeding the ambitions of this contribution. </w:t>
      </w:r>
      <w:r w:rsidR="00DB13F4">
        <w:rPr>
          <w:rFonts w:cs="Times New Roman"/>
          <w:lang w:val="fr-FR"/>
        </w:rPr>
        <w:t xml:space="preserve">My aim will thus be to draw a general picture, in order for us to consider the extent to which the notion of </w:t>
      </w:r>
      <w:r w:rsidR="00DB13F4" w:rsidRPr="00DB13F4">
        <w:rPr>
          <w:rFonts w:cs="Times New Roman"/>
          <w:i/>
          <w:lang w:val="fr-FR"/>
        </w:rPr>
        <w:t>fanshi bu zhi</w:t>
      </w:r>
      <w:r w:rsidR="00DB13F4">
        <w:rPr>
          <w:rFonts w:cs="Times New Roman"/>
          <w:lang w:val="fr-FR"/>
        </w:rPr>
        <w:t xml:space="preserve"> was actually called into play in such a context. The main sources for this endeavour will be specific cases drawn from archival funds and various collections of criminal cases, all dating back to the Qing dynasty.</w:t>
      </w:r>
    </w:p>
    <w:p w14:paraId="0D815A15" w14:textId="77777777" w:rsidR="001C6EAC" w:rsidRDefault="001C6EAC" w:rsidP="001C6EAC">
      <w:pPr>
        <w:jc w:val="both"/>
        <w:rPr>
          <w:rFonts w:cs="Times New Roman"/>
          <w:lang w:val="fr-FR"/>
        </w:rPr>
      </w:pPr>
    </w:p>
    <w:p w14:paraId="3669955F" w14:textId="6449630A" w:rsidR="001C6EAC" w:rsidRDefault="001C6EAC" w:rsidP="001C6EAC">
      <w:pPr>
        <w:jc w:val="both"/>
        <w:rPr>
          <w:rFonts w:cs="Times New Roman"/>
          <w:i/>
          <w:lang w:val="fr-FR"/>
        </w:rPr>
      </w:pPr>
      <w:r w:rsidRPr="001C6EAC">
        <w:rPr>
          <w:rFonts w:cs="Times New Roman"/>
          <w:i/>
          <w:lang w:val="fr-FR"/>
        </w:rPr>
        <w:t>The construct of criminal liability</w:t>
      </w:r>
    </w:p>
    <w:p w14:paraId="2A5327F9" w14:textId="77777777" w:rsidR="001C6EAC" w:rsidRPr="001C6EAC" w:rsidRDefault="001C6EAC" w:rsidP="001C6EAC">
      <w:pPr>
        <w:jc w:val="both"/>
        <w:rPr>
          <w:rFonts w:cs="Times New Roman"/>
          <w:lang w:val="fr-FR"/>
        </w:rPr>
      </w:pPr>
    </w:p>
    <w:p w14:paraId="51E5EB62" w14:textId="77777777" w:rsidR="00D50EC3" w:rsidRDefault="00757171" w:rsidP="001C6EAC">
      <w:pPr>
        <w:ind w:firstLine="284"/>
        <w:jc w:val="both"/>
        <w:rPr>
          <w:rFonts w:eastAsia="新細明體" w:cs="Times New Roman"/>
          <w:lang w:val="fr-FR" w:eastAsia="zh-TW"/>
        </w:rPr>
      </w:pPr>
      <w:r>
        <w:rPr>
          <w:rFonts w:cs="Times New Roman"/>
          <w:lang w:val="fr-FR"/>
        </w:rPr>
        <w:t>As mentioned above, the gradation of criminal intent was rendered in a very sophisticated way in the penal and administrative codes of the late imperial period. Its most complete depiction appears in the section on homicides (</w:t>
      </w:r>
      <w:r w:rsidRPr="00757171">
        <w:rPr>
          <w:rFonts w:eastAsia="新細明體" w:cs="Times New Roman"/>
          <w:i/>
          <w:lang w:val="fr-FR" w:eastAsia="zh-TW"/>
        </w:rPr>
        <w:t>renming</w:t>
      </w:r>
      <w:r>
        <w:rPr>
          <w:rFonts w:eastAsia="新細明體" w:cs="Times New Roman"/>
          <w:lang w:val="fr-FR" w:eastAsia="zh-TW"/>
        </w:rPr>
        <w:t xml:space="preserve"> </w:t>
      </w:r>
      <w:r>
        <w:rPr>
          <w:rFonts w:ascii="新細明體" w:eastAsia="新細明體" w:hAnsi="新細明體" w:cs="新細明體" w:hint="eastAsia"/>
          <w:lang w:val="fr-FR" w:eastAsia="zh-TW"/>
        </w:rPr>
        <w:t>人命</w:t>
      </w:r>
      <w:r>
        <w:rPr>
          <w:rFonts w:cs="Times New Roman"/>
          <w:lang w:val="fr-FR"/>
        </w:rPr>
        <w:t xml:space="preserve">), where one can make out </w:t>
      </w:r>
      <w:r w:rsidR="00F72665">
        <w:rPr>
          <w:rFonts w:cs="Times New Roman"/>
          <w:lang w:val="fr-FR"/>
        </w:rPr>
        <w:t>four</w:t>
      </w:r>
      <w:r>
        <w:rPr>
          <w:rFonts w:cs="Times New Roman"/>
          <w:lang w:val="fr-FR"/>
        </w:rPr>
        <w:t xml:space="preserve"> basic </w:t>
      </w:r>
      <w:r w:rsidR="00D8355D">
        <w:rPr>
          <w:rFonts w:cs="Times New Roman"/>
          <w:lang w:val="fr-FR"/>
        </w:rPr>
        <w:t xml:space="preserve">distinction as to the </w:t>
      </w:r>
      <w:r>
        <w:rPr>
          <w:rFonts w:cs="Times New Roman"/>
          <w:lang w:val="fr-FR"/>
        </w:rPr>
        <w:t xml:space="preserve">levels of intent. The first, labelled </w:t>
      </w:r>
      <w:r w:rsidRPr="00757171">
        <w:rPr>
          <w:rFonts w:cs="Times New Roman"/>
          <w:i/>
          <w:lang w:val="fr-FR"/>
        </w:rPr>
        <w:t>mou</w:t>
      </w:r>
      <w:r>
        <w:rPr>
          <w:rFonts w:cs="Times New Roman"/>
          <w:lang w:val="fr-FR"/>
        </w:rPr>
        <w:t xml:space="preserve"> </w:t>
      </w:r>
      <w:r>
        <w:rPr>
          <w:rFonts w:ascii="新細明體" w:eastAsia="新細明體" w:hAnsi="新細明體" w:cs="新細明體" w:hint="eastAsia"/>
          <w:lang w:val="fr-FR" w:eastAsia="zh-TW"/>
        </w:rPr>
        <w:t>謀</w:t>
      </w:r>
      <w:r w:rsidRPr="00757171">
        <w:rPr>
          <w:rFonts w:eastAsia="新細明體" w:cs="Times New Roman"/>
          <w:lang w:val="fr-FR" w:eastAsia="zh-TW"/>
        </w:rPr>
        <w:t xml:space="preserve">, </w:t>
      </w:r>
      <w:r>
        <w:rPr>
          <w:rFonts w:eastAsia="新細明體" w:cs="Times New Roman"/>
          <w:lang w:val="fr-FR" w:eastAsia="zh-TW"/>
        </w:rPr>
        <w:t xml:space="preserve">can be renderd as premeditation, and is, as today, the one which provides for the most severe penal consequences. Next comes </w:t>
      </w:r>
      <w:r w:rsidRPr="00757171">
        <w:rPr>
          <w:rFonts w:eastAsia="新細明體" w:cs="Times New Roman"/>
          <w:i/>
          <w:lang w:val="fr-FR" w:eastAsia="zh-TW"/>
        </w:rPr>
        <w:t>gu</w:t>
      </w:r>
      <w:r>
        <w:rPr>
          <w:rFonts w:eastAsia="新細明體" w:cs="Times New Roman"/>
          <w:lang w:val="fr-FR" w:eastAsia="zh-TW"/>
        </w:rPr>
        <w:t xml:space="preserve"> </w:t>
      </w:r>
      <w:r>
        <w:rPr>
          <w:rFonts w:ascii="新細明體" w:eastAsia="新細明體" w:hAnsi="新細明體" w:cs="新細明體" w:hint="eastAsia"/>
          <w:lang w:val="fr-FR" w:eastAsia="zh-TW"/>
        </w:rPr>
        <w:t>故</w:t>
      </w:r>
      <w:r w:rsidR="00D8355D">
        <w:rPr>
          <w:rFonts w:eastAsia="新細明體" w:cs="Times New Roman"/>
          <w:lang w:val="fr-FR" w:eastAsia="zh-TW"/>
        </w:rPr>
        <w:t>, which</w:t>
      </w:r>
      <w:r>
        <w:rPr>
          <w:rFonts w:eastAsia="新細明體" w:cs="Times New Roman"/>
          <w:lang w:val="fr-FR" w:eastAsia="zh-TW"/>
        </w:rPr>
        <w:t xml:space="preserve"> implies a clear intention to do harm, but no plans </w:t>
      </w:r>
      <w:r w:rsidR="00D8355D">
        <w:rPr>
          <w:rFonts w:eastAsia="新細明體" w:cs="Times New Roman"/>
          <w:lang w:val="fr-FR" w:eastAsia="zh-TW"/>
        </w:rPr>
        <w:t xml:space="preserve">prepared </w:t>
      </w:r>
      <w:r>
        <w:rPr>
          <w:rFonts w:eastAsia="新細明體" w:cs="Times New Roman"/>
          <w:lang w:val="fr-FR" w:eastAsia="zh-TW"/>
        </w:rPr>
        <w:t>before</w:t>
      </w:r>
      <w:r w:rsidR="00D8355D">
        <w:rPr>
          <w:rFonts w:eastAsia="新細明體" w:cs="Times New Roman"/>
          <w:lang w:val="fr-FR" w:eastAsia="zh-TW"/>
        </w:rPr>
        <w:t>hand, no clearcut preparation of</w:t>
      </w:r>
      <w:r>
        <w:rPr>
          <w:rFonts w:eastAsia="新細明體" w:cs="Times New Roman"/>
          <w:lang w:val="fr-FR" w:eastAsia="zh-TW"/>
        </w:rPr>
        <w:t xml:space="preserve"> the </w:t>
      </w:r>
      <w:r w:rsidR="00D8355D">
        <w:rPr>
          <w:rFonts w:eastAsia="新細明體" w:cs="Times New Roman"/>
          <w:lang w:val="fr-FR" w:eastAsia="zh-TW"/>
        </w:rPr>
        <w:t xml:space="preserve">upcoming crime. </w:t>
      </w:r>
      <w:r w:rsidR="00FF32BB">
        <w:rPr>
          <w:rFonts w:eastAsia="新細明體" w:cs="Times New Roman"/>
          <w:lang w:val="fr-FR" w:eastAsia="zh-TW"/>
        </w:rPr>
        <w:t xml:space="preserve">In other words, the wrongdoing was deliberately committed, but not premeditated. </w:t>
      </w:r>
      <w:r w:rsidR="00D8355D">
        <w:rPr>
          <w:rFonts w:eastAsia="新細明體" w:cs="Times New Roman"/>
          <w:lang w:val="fr-FR" w:eastAsia="zh-TW"/>
        </w:rPr>
        <w:t>The third level</w:t>
      </w:r>
      <w:r w:rsidR="00FF32BB">
        <w:rPr>
          <w:rFonts w:eastAsia="新細明體" w:cs="Times New Roman"/>
          <w:lang w:val="fr-FR" w:eastAsia="zh-TW"/>
        </w:rPr>
        <w:t xml:space="preserve"> is that of homicides or injuries occuring in the course of an affray (</w:t>
      </w:r>
      <w:r w:rsidR="00FF32BB" w:rsidRPr="00FF32BB">
        <w:rPr>
          <w:rFonts w:eastAsia="新細明體" w:cs="Times New Roman"/>
          <w:i/>
          <w:lang w:val="fr-FR" w:eastAsia="zh-TW"/>
        </w:rPr>
        <w:t>dou</w:t>
      </w:r>
      <w:r w:rsidR="00FF32BB">
        <w:rPr>
          <w:rFonts w:eastAsia="新細明體" w:cs="Times New Roman"/>
          <w:lang w:val="fr-FR" w:eastAsia="zh-TW"/>
        </w:rPr>
        <w:t xml:space="preserve"> </w:t>
      </w:r>
      <w:r w:rsidR="00FF32BB">
        <w:rPr>
          <w:rFonts w:ascii="新細明體" w:eastAsia="新細明體" w:hAnsi="新細明體" w:cs="新細明體" w:hint="eastAsia"/>
          <w:lang w:val="fr-FR" w:eastAsia="zh-TW"/>
        </w:rPr>
        <w:t>鬥</w:t>
      </w:r>
      <w:r w:rsidR="00FF32BB">
        <w:rPr>
          <w:rFonts w:eastAsia="新細明體" w:cs="Times New Roman"/>
          <w:lang w:val="fr-FR" w:eastAsia="zh-TW"/>
        </w:rPr>
        <w:t>). Its penal consequences are less serious than the previous mainly because it considers acts wh</w:t>
      </w:r>
      <w:r w:rsidR="00D50EC3">
        <w:rPr>
          <w:rFonts w:eastAsia="新細明體" w:cs="Times New Roman"/>
          <w:lang w:val="fr-FR" w:eastAsia="zh-TW"/>
        </w:rPr>
        <w:t>i</w:t>
      </w:r>
      <w:r w:rsidR="00FF32BB">
        <w:rPr>
          <w:rFonts w:eastAsia="新細明體" w:cs="Times New Roman"/>
          <w:lang w:val="fr-FR" w:eastAsia="zh-TW"/>
        </w:rPr>
        <w:t xml:space="preserve">ch can be considered as non-deliberate – </w:t>
      </w:r>
      <w:r w:rsidR="00FF32BB" w:rsidRPr="00FF32BB">
        <w:rPr>
          <w:rFonts w:eastAsia="新細明體" w:cs="Times New Roman"/>
          <w:i/>
          <w:lang w:val="fr-FR" w:eastAsia="zh-TW"/>
        </w:rPr>
        <w:t>i</w:t>
      </w:r>
      <w:r w:rsidR="00FF32BB">
        <w:rPr>
          <w:rFonts w:eastAsia="新細明體" w:cs="Times New Roman"/>
          <w:lang w:val="fr-FR" w:eastAsia="zh-TW"/>
        </w:rPr>
        <w:t>.</w:t>
      </w:r>
      <w:r w:rsidR="00FF32BB" w:rsidRPr="00FF32BB">
        <w:rPr>
          <w:rFonts w:eastAsia="新細明體" w:cs="Times New Roman"/>
          <w:i/>
          <w:lang w:val="fr-FR" w:eastAsia="zh-TW"/>
        </w:rPr>
        <w:t>e</w:t>
      </w:r>
      <w:r w:rsidR="00FF32BB">
        <w:rPr>
          <w:rFonts w:eastAsia="新細明體" w:cs="Times New Roman"/>
          <w:lang w:val="fr-FR" w:eastAsia="zh-TW"/>
        </w:rPr>
        <w:t>., someone not willingly getting involved in a brawl and ending up inflicting injuri</w:t>
      </w:r>
      <w:r w:rsidR="00D50EC3">
        <w:rPr>
          <w:rFonts w:eastAsia="新細明體" w:cs="Times New Roman"/>
          <w:lang w:val="fr-FR" w:eastAsia="zh-TW"/>
        </w:rPr>
        <w:t>es or death to the other party.</w:t>
      </w:r>
    </w:p>
    <w:p w14:paraId="498F45CC" w14:textId="73D8680B" w:rsidR="006B2EDA" w:rsidRPr="00757171" w:rsidRDefault="00FF32BB" w:rsidP="001C6EAC">
      <w:pPr>
        <w:ind w:firstLine="284"/>
        <w:jc w:val="both"/>
        <w:rPr>
          <w:rFonts w:eastAsia="新細明體" w:cs="Times New Roman"/>
          <w:lang w:val="fr-FR" w:eastAsia="zh-TW"/>
        </w:rPr>
      </w:pPr>
      <w:r>
        <w:rPr>
          <w:rFonts w:eastAsia="新細明體" w:cs="Times New Roman"/>
          <w:lang w:val="fr-FR" w:eastAsia="zh-TW"/>
        </w:rPr>
        <w:t xml:space="preserve">The last level, </w:t>
      </w:r>
      <w:r w:rsidR="00D8355D">
        <w:rPr>
          <w:rFonts w:eastAsia="新細明體" w:cs="Times New Roman"/>
          <w:lang w:val="fr-FR" w:eastAsia="zh-TW"/>
        </w:rPr>
        <w:t xml:space="preserve">the most complex one, </w:t>
      </w:r>
      <w:r w:rsidR="00B06E97">
        <w:rPr>
          <w:rFonts w:eastAsia="新細明體" w:cs="Times New Roman"/>
          <w:lang w:val="fr-FR" w:eastAsia="zh-TW"/>
        </w:rPr>
        <w:t>tackles in three distinct divisions the progression towards “unintentionality”. It is dealt with in statute 292 (Qing code), which is entitled “Killing or injuring in play, by negligence or unintentionally” (</w:t>
      </w:r>
      <w:r w:rsidR="00B06E97" w:rsidRPr="00B06E97">
        <w:rPr>
          <w:rFonts w:eastAsia="新細明體" w:cs="Times New Roman"/>
          <w:i/>
          <w:lang w:val="fr-FR" w:eastAsia="zh-TW"/>
        </w:rPr>
        <w:t>Xisha, wusha, guoshi shashang ren</w:t>
      </w:r>
      <w:r w:rsidR="00B06E97">
        <w:rPr>
          <w:rFonts w:eastAsia="新細明體" w:cs="Times New Roman"/>
          <w:lang w:val="fr-FR" w:eastAsia="zh-TW"/>
        </w:rPr>
        <w:t xml:space="preserve"> </w:t>
      </w:r>
      <w:r w:rsidR="00B06E97">
        <w:rPr>
          <w:rFonts w:ascii="新細明體" w:eastAsia="新細明體" w:hAnsi="新細明體" w:cs="新細明體" w:hint="eastAsia"/>
          <w:lang w:val="fr-FR" w:eastAsia="zh-TW"/>
        </w:rPr>
        <w:t>戲殺</w:t>
      </w:r>
      <w:r w:rsidR="00B06E97" w:rsidRPr="00B06E97">
        <w:rPr>
          <w:rFonts w:eastAsia="新細明體" w:cs="Times New Roman"/>
          <w:lang w:val="fr-FR" w:eastAsia="zh-TW"/>
        </w:rPr>
        <w:t xml:space="preserve">, </w:t>
      </w:r>
      <w:r w:rsidR="00B06E97">
        <w:rPr>
          <w:rFonts w:ascii="新細明體" w:eastAsia="新細明體" w:hAnsi="新細明體" w:cs="新細明體" w:hint="eastAsia"/>
          <w:lang w:val="fr-FR" w:eastAsia="zh-TW"/>
        </w:rPr>
        <w:t>誤殺</w:t>
      </w:r>
      <w:r w:rsidR="00B06E97" w:rsidRPr="00B06E97">
        <w:rPr>
          <w:rFonts w:eastAsia="新細明體" w:cs="Times New Roman"/>
          <w:lang w:val="fr-FR" w:eastAsia="zh-TW"/>
        </w:rPr>
        <w:t xml:space="preserve">, </w:t>
      </w:r>
      <w:r w:rsidR="00B06E97">
        <w:rPr>
          <w:rFonts w:ascii="新細明體" w:eastAsia="新細明體" w:hAnsi="新細明體" w:cs="新細明體" w:hint="eastAsia"/>
          <w:lang w:val="fr-FR" w:eastAsia="zh-TW"/>
        </w:rPr>
        <w:t>過失殺傷人</w:t>
      </w:r>
      <w:r w:rsidR="00B06E97">
        <w:rPr>
          <w:rFonts w:eastAsia="新細明體" w:cs="Times New Roman"/>
          <w:lang w:val="fr-FR" w:eastAsia="zh-TW"/>
        </w:rPr>
        <w:t>)</w:t>
      </w:r>
      <w:r w:rsidR="00D50EC3">
        <w:rPr>
          <w:rStyle w:val="Marquenotebasdepage"/>
          <w:rFonts w:eastAsia="新細明體" w:cs="Times New Roman"/>
          <w:lang w:val="fr-FR" w:eastAsia="zh-TW"/>
        </w:rPr>
        <w:footnoteReference w:id="47"/>
      </w:r>
      <w:r w:rsidR="00B06E97">
        <w:rPr>
          <w:rFonts w:eastAsia="新細明體" w:cs="Times New Roman"/>
          <w:lang w:val="fr-FR" w:eastAsia="zh-TW"/>
        </w:rPr>
        <w:t xml:space="preserve">. The idea of killing or injuring “in play” relates to situations such as </w:t>
      </w:r>
      <w:r w:rsidR="00F72665">
        <w:rPr>
          <w:rFonts w:eastAsia="新細明體" w:cs="Times New Roman"/>
          <w:lang w:val="fr-FR" w:eastAsia="zh-TW"/>
        </w:rPr>
        <w:t xml:space="preserve">an engagement in </w:t>
      </w:r>
      <w:r w:rsidR="00B06E97">
        <w:rPr>
          <w:rFonts w:eastAsia="新細明體" w:cs="Times New Roman"/>
          <w:lang w:val="fr-FR" w:eastAsia="zh-TW"/>
        </w:rPr>
        <w:t>martial art</w:t>
      </w:r>
      <w:r w:rsidR="00F72665">
        <w:rPr>
          <w:rFonts w:eastAsia="新細明體" w:cs="Times New Roman"/>
          <w:lang w:val="fr-FR" w:eastAsia="zh-TW"/>
        </w:rPr>
        <w:t xml:space="preserve">s or cases where a party, for the fun of it, tricks the other into doing something, ending up in dire consequences – for example, getting someone to cross a pond by asserting its water is shallow, while actually knowing that it is deep. </w:t>
      </w:r>
      <w:r w:rsidR="00D50EC3">
        <w:rPr>
          <w:rFonts w:eastAsia="新細明體" w:cs="Times New Roman"/>
          <w:lang w:val="fr-FR" w:eastAsia="zh-TW"/>
        </w:rPr>
        <w:t xml:space="preserve">The notion of negligence, by which I render the Chinese </w:t>
      </w:r>
      <w:r w:rsidR="00D50EC3" w:rsidRPr="00D50EC3">
        <w:rPr>
          <w:rFonts w:eastAsia="新細明體" w:cs="Times New Roman"/>
          <w:i/>
          <w:lang w:val="fr-FR" w:eastAsia="zh-TW"/>
        </w:rPr>
        <w:t>wu</w:t>
      </w:r>
      <w:r w:rsidR="00D50EC3">
        <w:rPr>
          <w:rFonts w:eastAsia="新細明體" w:cs="Times New Roman"/>
          <w:lang w:val="fr-FR" w:eastAsia="zh-TW"/>
        </w:rPr>
        <w:t xml:space="preserve"> </w:t>
      </w:r>
      <w:r w:rsidR="00D50EC3">
        <w:rPr>
          <w:rFonts w:ascii="新細明體" w:eastAsia="新細明體" w:hAnsi="新細明體" w:cs="新細明體" w:hint="eastAsia"/>
          <w:lang w:val="fr-FR" w:eastAsia="zh-TW"/>
        </w:rPr>
        <w:t>誤</w:t>
      </w:r>
      <w:r w:rsidR="00D50EC3">
        <w:rPr>
          <w:rFonts w:eastAsia="新細明體" w:cs="Times New Roman"/>
          <w:lang w:val="fr-FR" w:eastAsia="zh-TW"/>
        </w:rPr>
        <w:t xml:space="preserve"> (generally translated by mistake)</w:t>
      </w:r>
      <w:r w:rsidR="007A28E5">
        <w:rPr>
          <w:rStyle w:val="Marquenotebasdepage"/>
          <w:rFonts w:eastAsia="新細明體" w:cs="Times New Roman"/>
          <w:lang w:val="fr-FR" w:eastAsia="zh-TW"/>
        </w:rPr>
        <w:footnoteReference w:id="48"/>
      </w:r>
      <w:r w:rsidR="00D50EC3">
        <w:rPr>
          <w:rFonts w:eastAsia="新細明體" w:cs="Times New Roman"/>
          <w:lang w:val="fr-FR" w:eastAsia="zh-TW"/>
        </w:rPr>
        <w:t>, is yet again linked to brawls that had resulted in injuries or death, but with the victim not a direct actor of the fight (</w:t>
      </w:r>
      <w:r w:rsidR="00D50EC3" w:rsidRPr="00D50EC3">
        <w:rPr>
          <w:rFonts w:eastAsia="新細明體" w:cs="Times New Roman"/>
          <w:i/>
          <w:lang w:val="fr-FR" w:eastAsia="zh-TW"/>
        </w:rPr>
        <w:t>pangren</w:t>
      </w:r>
      <w:r w:rsidR="00D50EC3">
        <w:rPr>
          <w:rFonts w:eastAsia="新細明體" w:cs="Times New Roman"/>
          <w:lang w:val="fr-FR" w:eastAsia="zh-TW"/>
        </w:rPr>
        <w:t xml:space="preserve"> </w:t>
      </w:r>
      <w:r w:rsidR="00D50EC3">
        <w:rPr>
          <w:rFonts w:ascii="新細明體" w:eastAsia="新細明體" w:hAnsi="新細明體" w:cs="新細明體" w:hint="eastAsia"/>
          <w:lang w:val="fr-FR" w:eastAsia="zh-TW"/>
        </w:rPr>
        <w:t>旁人</w:t>
      </w:r>
      <w:r w:rsidR="00D50EC3">
        <w:rPr>
          <w:rFonts w:eastAsia="新細明體" w:cs="Times New Roman"/>
          <w:lang w:val="fr-FR" w:eastAsia="zh-TW"/>
        </w:rPr>
        <w:t xml:space="preserve">). The intention to hit </w:t>
      </w:r>
      <w:r w:rsidR="007A28E5">
        <w:rPr>
          <w:rFonts w:eastAsia="新細明體" w:cs="Times New Roman"/>
          <w:lang w:val="fr-FR" w:eastAsia="zh-TW"/>
        </w:rPr>
        <w:t>and thus the risk of harming, or even killing someone, was characterised, but in an instance of the victim being a third party not taking part in the fight, a difference was made as far as the law was concerned. Finally, the progression winds down to unintentional acts (</w:t>
      </w:r>
      <w:r w:rsidR="007A28E5" w:rsidRPr="007A28E5">
        <w:rPr>
          <w:rFonts w:eastAsia="新細明體" w:cs="Times New Roman"/>
          <w:i/>
          <w:lang w:val="fr-FR" w:eastAsia="zh-TW"/>
        </w:rPr>
        <w:t>guoshi</w:t>
      </w:r>
      <w:r w:rsidR="007A28E5">
        <w:rPr>
          <w:rFonts w:eastAsia="新細明體" w:cs="Times New Roman"/>
          <w:lang w:val="fr-FR" w:eastAsia="zh-TW"/>
        </w:rPr>
        <w:t xml:space="preserve"> </w:t>
      </w:r>
      <w:r w:rsidR="007A28E5">
        <w:rPr>
          <w:rFonts w:ascii="新細明體" w:eastAsia="新細明體" w:hAnsi="新細明體" w:cs="新細明體" w:hint="eastAsia"/>
          <w:lang w:val="fr-FR" w:eastAsia="zh-TW"/>
        </w:rPr>
        <w:t>過失</w:t>
      </w:r>
      <w:r w:rsidR="007A28E5">
        <w:rPr>
          <w:rFonts w:eastAsia="新細明體" w:cs="Times New Roman"/>
          <w:lang w:val="fr-FR" w:eastAsia="zh-TW"/>
        </w:rPr>
        <w:t>)</w:t>
      </w:r>
      <w:r w:rsidR="0067439D">
        <w:rPr>
          <w:rFonts w:eastAsia="新細明體" w:cs="Times New Roman"/>
          <w:lang w:val="fr-FR" w:eastAsia="zh-TW"/>
        </w:rPr>
        <w:t>, which are defined, in the legal context, through the following expression: “[acts whose consequences] neither the senses not the intelligence [of the perpetrator] could have led [him/her] to perceive or conceive” (</w:t>
      </w:r>
      <w:r w:rsidR="0067439D" w:rsidRPr="0067439D">
        <w:rPr>
          <w:rFonts w:eastAsia="新細明體" w:cs="Times New Roman"/>
          <w:i/>
          <w:lang w:val="fr-FR" w:eastAsia="zh-TW"/>
        </w:rPr>
        <w:t>ermu suo bu ji</w:t>
      </w:r>
      <w:r w:rsidR="0067439D">
        <w:rPr>
          <w:rFonts w:eastAsia="新細明體" w:cs="Times New Roman"/>
          <w:lang w:val="fr-FR" w:eastAsia="zh-TW"/>
        </w:rPr>
        <w:t xml:space="preserve">, </w:t>
      </w:r>
      <w:r w:rsidR="0067439D" w:rsidRPr="0067439D">
        <w:rPr>
          <w:rFonts w:eastAsia="新細明體" w:cs="Times New Roman"/>
          <w:i/>
          <w:lang w:val="fr-FR" w:eastAsia="zh-TW"/>
        </w:rPr>
        <w:t>silü suo bu dao</w:t>
      </w:r>
      <w:r w:rsidR="0067439D">
        <w:rPr>
          <w:rFonts w:eastAsia="新細明體" w:cs="Times New Roman"/>
          <w:lang w:val="fr-FR" w:eastAsia="zh-TW"/>
        </w:rPr>
        <w:t xml:space="preserve"> </w:t>
      </w:r>
      <w:r w:rsidR="0067439D">
        <w:rPr>
          <w:rFonts w:ascii="新細明體" w:eastAsia="新細明體" w:hAnsi="新細明體" w:cs="新細明體" w:hint="eastAsia"/>
          <w:lang w:val="fr-FR" w:eastAsia="zh-TW"/>
        </w:rPr>
        <w:t>耳目所不及，思慮所不到</w:t>
      </w:r>
      <w:r w:rsidR="0067439D">
        <w:rPr>
          <w:rFonts w:eastAsia="新細明體" w:cs="Times New Roman"/>
          <w:lang w:val="fr-FR" w:eastAsia="zh-TW"/>
        </w:rPr>
        <w:t xml:space="preserve">). If such circumstances could be </w:t>
      </w:r>
      <w:r w:rsidR="00237F03">
        <w:rPr>
          <w:rFonts w:eastAsia="新細明體" w:cs="Times New Roman"/>
          <w:lang w:val="fr-FR" w:eastAsia="zh-TW"/>
        </w:rPr>
        <w:t>shown to have pertained, the culprit was authorized to redeem his punishment through the payment of a sum in cash. He or she was also to pay a compensation to the family of the victim</w:t>
      </w:r>
      <w:r w:rsidR="00237F03">
        <w:rPr>
          <w:rStyle w:val="Marquenotebasdepage"/>
          <w:rFonts w:eastAsia="新細明體" w:cs="Times New Roman"/>
          <w:lang w:val="fr-FR" w:eastAsia="zh-TW"/>
        </w:rPr>
        <w:footnoteReference w:id="49"/>
      </w:r>
      <w:r w:rsidR="00237F03">
        <w:rPr>
          <w:rFonts w:eastAsia="新細明體" w:cs="Times New Roman"/>
          <w:lang w:val="fr-FR" w:eastAsia="zh-TW"/>
        </w:rPr>
        <w:t>.</w:t>
      </w:r>
    </w:p>
    <w:p w14:paraId="35CD9D3F" w14:textId="3D807F51" w:rsidR="00DB13F4" w:rsidRDefault="00796707" w:rsidP="001C6EAC">
      <w:pPr>
        <w:ind w:firstLine="284"/>
        <w:jc w:val="both"/>
        <w:rPr>
          <w:rFonts w:cs="Times New Roman"/>
          <w:lang w:val="fr-FR"/>
        </w:rPr>
      </w:pPr>
      <w:r>
        <w:rPr>
          <w:rFonts w:cs="Times New Roman"/>
          <w:lang w:val="fr-FR"/>
        </w:rPr>
        <w:t>T</w:t>
      </w:r>
      <w:r w:rsidR="0091622C">
        <w:rPr>
          <w:rFonts w:cs="Times New Roman"/>
          <w:lang w:val="fr-FR"/>
        </w:rPr>
        <w:t xml:space="preserve">he above description only conveys part of the sophistication with which taditional Chinese jurists have approached the whole issue of intentionality. The code, especially in its Qing version, included in time an ever longer list of provisions, codified in its substatutes, dealing with a wide array of circumstances pertaining to this question, whether linked to the sphere of kinship relations or dealing with affairs involving ordinary individuals. </w:t>
      </w:r>
      <w:r w:rsidR="00FB3C02">
        <w:rPr>
          <w:rFonts w:cs="Times New Roman"/>
          <w:lang w:val="fr-FR"/>
        </w:rPr>
        <w:t xml:space="preserve">In such a construct, carving out a space for the specific use of the notion of </w:t>
      </w:r>
      <w:r w:rsidR="00FB3C02" w:rsidRPr="00FB3C02">
        <w:rPr>
          <w:rFonts w:cs="Times New Roman"/>
          <w:i/>
          <w:lang w:val="fr-FR"/>
        </w:rPr>
        <w:t>fanshi bu zhi</w:t>
      </w:r>
      <w:r w:rsidR="00FB3C02">
        <w:rPr>
          <w:rFonts w:cs="Times New Roman"/>
          <w:lang w:val="fr-FR"/>
        </w:rPr>
        <w:t xml:space="preserve"> appears</w:t>
      </w:r>
      <w:r w:rsidR="00CF097C">
        <w:rPr>
          <w:rFonts w:cs="Times New Roman"/>
          <w:lang w:val="fr-FR"/>
        </w:rPr>
        <w:t xml:space="preserve"> in principle uneasy, for, as </w:t>
      </w:r>
      <w:r w:rsidR="00B00C23">
        <w:rPr>
          <w:rFonts w:cs="Times New Roman"/>
          <w:lang w:val="fr-FR"/>
        </w:rPr>
        <w:t xml:space="preserve">we have just seen, </w:t>
      </w:r>
      <w:r>
        <w:rPr>
          <w:rFonts w:cs="Times New Roman"/>
          <w:lang w:val="fr-FR"/>
        </w:rPr>
        <w:t xml:space="preserve">the field </w:t>
      </w:r>
      <w:r w:rsidR="00B00C23">
        <w:rPr>
          <w:rFonts w:cs="Times New Roman"/>
          <w:lang w:val="fr-FR"/>
        </w:rPr>
        <w:t>of “</w:t>
      </w:r>
      <w:r w:rsidR="00CF097C">
        <w:rPr>
          <w:rFonts w:cs="Times New Roman"/>
          <w:lang w:val="fr-FR"/>
        </w:rPr>
        <w:t xml:space="preserve">intentionality” </w:t>
      </w:r>
      <w:r w:rsidR="00B00C23">
        <w:rPr>
          <w:rFonts w:cs="Times New Roman"/>
          <w:lang w:val="fr-FR"/>
        </w:rPr>
        <w:t>was</w:t>
      </w:r>
      <w:r w:rsidR="00CF097C">
        <w:rPr>
          <w:rFonts w:cs="Times New Roman"/>
          <w:lang w:val="fr-FR"/>
        </w:rPr>
        <w:t xml:space="preserve"> already well endowed with. There, maybe, lies</w:t>
      </w:r>
      <w:r w:rsidR="00FB3C02">
        <w:rPr>
          <w:rFonts w:cs="Times New Roman"/>
          <w:lang w:val="fr-FR"/>
        </w:rPr>
        <w:t xml:space="preserve"> the reason for </w:t>
      </w:r>
      <w:r w:rsidR="00CF097C">
        <w:rPr>
          <w:rFonts w:cs="Times New Roman"/>
          <w:lang w:val="fr-FR"/>
        </w:rPr>
        <w:t xml:space="preserve">its relative discretion inside the </w:t>
      </w:r>
      <w:r w:rsidR="00B00C23">
        <w:rPr>
          <w:rFonts w:cs="Times New Roman"/>
          <w:lang w:val="fr-FR"/>
        </w:rPr>
        <w:t xml:space="preserve">compendiae of codified laws, I pointed </w:t>
      </w:r>
      <w:r>
        <w:rPr>
          <w:rFonts w:cs="Times New Roman"/>
          <w:lang w:val="fr-FR"/>
        </w:rPr>
        <w:t>out</w:t>
      </w:r>
      <w:r w:rsidR="00B00C23">
        <w:rPr>
          <w:rFonts w:cs="Times New Roman"/>
          <w:lang w:val="fr-FR"/>
        </w:rPr>
        <w:t xml:space="preserve"> above. But despite this form of saturation, </w:t>
      </w:r>
      <w:r w:rsidR="007A7DDD">
        <w:rPr>
          <w:rFonts w:cs="Times New Roman"/>
          <w:lang w:val="fr-FR"/>
        </w:rPr>
        <w:t xml:space="preserve">the </w:t>
      </w:r>
      <w:r w:rsidR="00B00C23">
        <w:rPr>
          <w:rFonts w:cs="Times New Roman"/>
          <w:lang w:val="fr-FR"/>
        </w:rPr>
        <w:t xml:space="preserve">actual </w:t>
      </w:r>
      <w:r w:rsidR="007A7DDD">
        <w:rPr>
          <w:rFonts w:cs="Times New Roman"/>
          <w:lang w:val="fr-FR"/>
        </w:rPr>
        <w:t xml:space="preserve">process of adjudication of a series of </w:t>
      </w:r>
      <w:r w:rsidR="00B00C23">
        <w:rPr>
          <w:rFonts w:cs="Times New Roman"/>
          <w:lang w:val="fr-FR"/>
        </w:rPr>
        <w:t>criminal cases show</w:t>
      </w:r>
      <w:r w:rsidR="007A7DDD">
        <w:rPr>
          <w:rFonts w:cs="Times New Roman"/>
          <w:lang w:val="fr-FR"/>
        </w:rPr>
        <w:t xml:space="preserve">s that it was in fact </w:t>
      </w:r>
      <w:r>
        <w:rPr>
          <w:rFonts w:cs="Times New Roman"/>
          <w:lang w:val="fr-FR"/>
        </w:rPr>
        <w:t>put to use</w:t>
      </w:r>
      <w:r w:rsidR="007A7DDD">
        <w:rPr>
          <w:rFonts w:cs="Times New Roman"/>
          <w:lang w:val="fr-FR"/>
        </w:rPr>
        <w:t>. Let us thus see in what circumstances and to what result.</w:t>
      </w:r>
    </w:p>
    <w:p w14:paraId="6E697615" w14:textId="77777777" w:rsidR="001C6EAC" w:rsidRDefault="001C6EAC" w:rsidP="001C6EAC">
      <w:pPr>
        <w:jc w:val="both"/>
        <w:rPr>
          <w:rFonts w:cs="Times New Roman"/>
          <w:lang w:val="fr-FR"/>
        </w:rPr>
      </w:pPr>
    </w:p>
    <w:p w14:paraId="5EE402B5" w14:textId="4FBF43CC" w:rsidR="001C6EAC" w:rsidRDefault="001C6EAC" w:rsidP="001C6EAC">
      <w:pPr>
        <w:jc w:val="both"/>
        <w:rPr>
          <w:rFonts w:cs="Times New Roman"/>
          <w:i/>
          <w:lang w:val="fr-FR"/>
        </w:rPr>
      </w:pPr>
      <w:r w:rsidRPr="001C6EAC">
        <w:rPr>
          <w:rFonts w:cs="Times New Roman"/>
          <w:i/>
          <w:lang w:val="fr-FR"/>
        </w:rPr>
        <w:t>The notion of “unawareness” and its echo in criminal cases</w:t>
      </w:r>
    </w:p>
    <w:p w14:paraId="7798D561" w14:textId="77777777" w:rsidR="001C6EAC" w:rsidRDefault="001C6EAC" w:rsidP="001C6EAC">
      <w:pPr>
        <w:jc w:val="both"/>
        <w:rPr>
          <w:rFonts w:cs="Times New Roman"/>
          <w:lang w:val="fr-FR"/>
        </w:rPr>
      </w:pPr>
    </w:p>
    <w:p w14:paraId="3D3ED623" w14:textId="2EA9C5C5" w:rsidR="001C6EAC" w:rsidRPr="001C6EAC" w:rsidRDefault="001C6EAC" w:rsidP="001C6EAC">
      <w:pPr>
        <w:jc w:val="both"/>
        <w:rPr>
          <w:rFonts w:cs="Times New Roman"/>
          <w:lang w:val="fr-FR"/>
        </w:rPr>
      </w:pPr>
      <w:r>
        <w:rPr>
          <w:rFonts w:cs="Times New Roman"/>
          <w:lang w:val="fr-FR"/>
        </w:rPr>
        <w:t>1. Non-kin related cases</w:t>
      </w:r>
    </w:p>
    <w:p w14:paraId="2A96EB46" w14:textId="6D8C1D3C" w:rsidR="007A7DDD" w:rsidRDefault="00703E50" w:rsidP="001C6EAC">
      <w:pPr>
        <w:ind w:firstLine="284"/>
        <w:jc w:val="both"/>
        <w:rPr>
          <w:rFonts w:cs="Times New Roman"/>
          <w:lang w:val="fr-FR"/>
        </w:rPr>
      </w:pPr>
      <w:r>
        <w:rPr>
          <w:rFonts w:cs="Times New Roman"/>
          <w:lang w:val="fr-FR"/>
        </w:rPr>
        <w:t>First, it may be useful to provide a short description of the corpus of the cases I have used. It comprises twenty-</w:t>
      </w:r>
      <w:r w:rsidR="009B295A">
        <w:rPr>
          <w:rFonts w:cs="Times New Roman"/>
          <w:lang w:val="fr-FR"/>
        </w:rPr>
        <w:t>nine</w:t>
      </w:r>
      <w:r>
        <w:rPr>
          <w:rFonts w:cs="Times New Roman"/>
          <w:lang w:val="fr-FR"/>
        </w:rPr>
        <w:t xml:space="preserve"> affairs, spanning</w:t>
      </w:r>
      <w:r w:rsidR="00792819">
        <w:rPr>
          <w:rFonts w:cs="Times New Roman"/>
          <w:lang w:val="fr-FR"/>
        </w:rPr>
        <w:t xml:space="preserve"> the t</w:t>
      </w:r>
      <w:r w:rsidR="00796707">
        <w:rPr>
          <w:rFonts w:cs="Times New Roman"/>
          <w:lang w:val="fr-FR"/>
        </w:rPr>
        <w:t>w</w:t>
      </w:r>
      <w:r w:rsidR="00792819">
        <w:rPr>
          <w:rFonts w:cs="Times New Roman"/>
          <w:lang w:val="fr-FR"/>
        </w:rPr>
        <w:t>o centuries going from 1703</w:t>
      </w:r>
      <w:r>
        <w:rPr>
          <w:rFonts w:cs="Times New Roman"/>
          <w:lang w:val="fr-FR"/>
        </w:rPr>
        <w:t xml:space="preserve"> to 1907. </w:t>
      </w:r>
      <w:r w:rsidR="00136678">
        <w:rPr>
          <w:rFonts w:cs="Times New Roman"/>
          <w:lang w:val="fr-FR"/>
        </w:rPr>
        <w:t>Seven of them are drawn from Qing era archival holdings, and the rest from various case collections</w:t>
      </w:r>
      <w:r w:rsidR="00136678">
        <w:rPr>
          <w:rStyle w:val="Marquenotebasdepage"/>
          <w:rFonts w:cs="Times New Roman"/>
          <w:lang w:val="fr-FR"/>
        </w:rPr>
        <w:footnoteReference w:id="50"/>
      </w:r>
      <w:r w:rsidR="00136678">
        <w:rPr>
          <w:rFonts w:cs="Times New Roman"/>
          <w:lang w:val="fr-FR"/>
        </w:rPr>
        <w:t>.</w:t>
      </w:r>
      <w:r w:rsidR="0003711A">
        <w:rPr>
          <w:rFonts w:cs="Times New Roman"/>
          <w:lang w:val="fr-FR"/>
        </w:rPr>
        <w:t xml:space="preserve"> Approximately two-thirds go back to the Jiaqing (1796-1820) and early Daoguang (1821-</w:t>
      </w:r>
      <w:r w:rsidR="00AC541C">
        <w:rPr>
          <w:rFonts w:cs="Times New Roman"/>
          <w:lang w:val="fr-FR"/>
        </w:rPr>
        <w:t>1850</w:t>
      </w:r>
      <w:r w:rsidR="0003711A">
        <w:rPr>
          <w:rFonts w:cs="Times New Roman"/>
          <w:lang w:val="fr-FR"/>
        </w:rPr>
        <w:t>) eras</w:t>
      </w:r>
      <w:r w:rsidR="00AC541C">
        <w:rPr>
          <w:rFonts w:cs="Times New Roman"/>
          <w:lang w:val="fr-FR"/>
        </w:rPr>
        <w:t>. This aspect is not in itself relevant from a quantitative point of view, but we will see that it does go along with an evolution in the way “unawareness” was actually resorted to</w:t>
      </w:r>
      <w:r w:rsidR="00796707">
        <w:rPr>
          <w:rFonts w:cs="Times New Roman"/>
          <w:lang w:val="fr-FR"/>
        </w:rPr>
        <w:t xml:space="preserve"> in the judicial process</w:t>
      </w:r>
      <w:r w:rsidR="00AC541C">
        <w:rPr>
          <w:rFonts w:cs="Times New Roman"/>
          <w:lang w:val="fr-FR"/>
        </w:rPr>
        <w:t>. Two last points of importance may be put forth here. First of all, out of the twenty-</w:t>
      </w:r>
      <w:r w:rsidR="009B295A">
        <w:rPr>
          <w:rFonts w:cs="Times New Roman"/>
          <w:lang w:val="fr-FR"/>
        </w:rPr>
        <w:t>nine</w:t>
      </w:r>
      <w:r w:rsidR="00AC541C">
        <w:rPr>
          <w:rFonts w:cs="Times New Roman"/>
          <w:lang w:val="fr-FR"/>
        </w:rPr>
        <w:t xml:space="preserve"> cases reviewed here, all but one are associated to a homicide ; second, of these twenty-</w:t>
      </w:r>
      <w:r w:rsidR="009B295A">
        <w:rPr>
          <w:rFonts w:cs="Times New Roman"/>
          <w:lang w:val="fr-FR"/>
        </w:rPr>
        <w:t xml:space="preserve">eight </w:t>
      </w:r>
      <w:r w:rsidR="00AC541C">
        <w:rPr>
          <w:rFonts w:cs="Times New Roman"/>
          <w:lang w:val="fr-FR"/>
        </w:rPr>
        <w:t xml:space="preserve">homicides, </w:t>
      </w:r>
      <w:r w:rsidR="009B295A">
        <w:rPr>
          <w:rFonts w:cs="Times New Roman"/>
          <w:lang w:val="fr-FR"/>
        </w:rPr>
        <w:t xml:space="preserve">four </w:t>
      </w:r>
      <w:r w:rsidR="00AC541C">
        <w:rPr>
          <w:rFonts w:cs="Times New Roman"/>
          <w:lang w:val="fr-FR"/>
        </w:rPr>
        <w:t xml:space="preserve">only involve individuals not linked </w:t>
      </w:r>
      <w:r w:rsidR="00C66CD8">
        <w:rPr>
          <w:rFonts w:cs="Times New Roman"/>
          <w:lang w:val="fr-FR"/>
        </w:rPr>
        <w:t xml:space="preserve">to one another </w:t>
      </w:r>
      <w:r w:rsidR="00AC541C">
        <w:rPr>
          <w:rFonts w:cs="Times New Roman"/>
          <w:lang w:val="fr-FR"/>
        </w:rPr>
        <w:t>by kinship relation</w:t>
      </w:r>
      <w:r w:rsidR="00C66CD8">
        <w:rPr>
          <w:rFonts w:cs="Times New Roman"/>
          <w:lang w:val="fr-FR"/>
        </w:rPr>
        <w:t>s</w:t>
      </w:r>
      <w:r w:rsidR="00AC541C">
        <w:rPr>
          <w:rFonts w:cs="Times New Roman"/>
          <w:lang w:val="fr-FR"/>
        </w:rPr>
        <w:t>.</w:t>
      </w:r>
      <w:r w:rsidR="00C66CD8">
        <w:rPr>
          <w:rFonts w:cs="Times New Roman"/>
          <w:lang w:val="fr-FR"/>
        </w:rPr>
        <w:t xml:space="preserve"> To say things differently, twenty-</w:t>
      </w:r>
      <w:r w:rsidR="009B295A">
        <w:rPr>
          <w:rFonts w:cs="Times New Roman"/>
          <w:lang w:val="fr-FR"/>
        </w:rPr>
        <w:t xml:space="preserve">four </w:t>
      </w:r>
      <w:r w:rsidR="00C66CD8">
        <w:rPr>
          <w:rFonts w:cs="Times New Roman"/>
          <w:lang w:val="fr-FR"/>
        </w:rPr>
        <w:t xml:space="preserve">of the present cases involve kins, and the last affair to be accounted for concerns two members of a same patronymic clan, but </w:t>
      </w:r>
      <w:r w:rsidR="00D35083">
        <w:rPr>
          <w:rFonts w:cs="Times New Roman"/>
          <w:lang w:val="fr-FR"/>
        </w:rPr>
        <w:t xml:space="preserve">who were </w:t>
      </w:r>
      <w:r w:rsidR="00C66CD8">
        <w:rPr>
          <w:rFonts w:cs="Times New Roman"/>
          <w:lang w:val="fr-FR"/>
        </w:rPr>
        <w:t>not linked by any grade of mourning</w:t>
      </w:r>
      <w:r w:rsidR="00D35083">
        <w:rPr>
          <w:rFonts w:cs="Times New Roman"/>
          <w:lang w:val="fr-FR"/>
        </w:rPr>
        <w:t xml:space="preserve"> (</w:t>
      </w:r>
      <w:r w:rsidR="00D35083" w:rsidRPr="00D35083">
        <w:rPr>
          <w:rFonts w:eastAsia="新細明體" w:cs="Times New Roman"/>
          <w:i/>
          <w:lang w:val="fr-FR" w:eastAsia="zh-TW"/>
        </w:rPr>
        <w:t>fuzhi</w:t>
      </w:r>
      <w:r w:rsidR="00D35083">
        <w:rPr>
          <w:rFonts w:eastAsia="新細明體" w:cs="Times New Roman"/>
          <w:lang w:val="fr-FR" w:eastAsia="zh-TW"/>
        </w:rPr>
        <w:t xml:space="preserve"> </w:t>
      </w:r>
      <w:r w:rsidR="00D35083">
        <w:rPr>
          <w:rFonts w:ascii="新細明體" w:eastAsia="新細明體" w:hAnsi="新細明體" w:cs="新細明體" w:hint="eastAsia"/>
          <w:lang w:val="fr-FR" w:eastAsia="zh-TW"/>
        </w:rPr>
        <w:t>服制</w:t>
      </w:r>
      <w:r w:rsidR="00D35083">
        <w:rPr>
          <w:rFonts w:cs="Times New Roman"/>
          <w:lang w:val="fr-FR"/>
        </w:rPr>
        <w:t>)</w:t>
      </w:r>
      <w:r w:rsidR="00C66CD8">
        <w:rPr>
          <w:rFonts w:cs="Times New Roman"/>
          <w:lang w:val="fr-FR"/>
        </w:rPr>
        <w:t xml:space="preserve">. </w:t>
      </w:r>
      <w:r w:rsidR="00D35083">
        <w:rPr>
          <w:rFonts w:cs="Times New Roman"/>
          <w:lang w:val="fr-FR"/>
        </w:rPr>
        <w:t>Even though this whole sample cannot be considered in any way relevant from</w:t>
      </w:r>
      <w:r w:rsidR="003A0532">
        <w:rPr>
          <w:rFonts w:cs="Times New Roman"/>
          <w:lang w:val="fr-FR"/>
        </w:rPr>
        <w:t xml:space="preserve"> a quantitative standpoint, the</w:t>
      </w:r>
      <w:r w:rsidR="00D35083">
        <w:rPr>
          <w:rFonts w:cs="Times New Roman"/>
          <w:lang w:val="fr-FR"/>
        </w:rPr>
        <w:t xml:space="preserve"> imbalance does convey a sense of </w:t>
      </w:r>
      <w:r w:rsidR="003A0532">
        <w:rPr>
          <w:rFonts w:cs="Times New Roman"/>
          <w:lang w:val="fr-FR"/>
        </w:rPr>
        <w:t xml:space="preserve">what it was exactly that was involved when the </w:t>
      </w:r>
      <w:r w:rsidR="003A0532" w:rsidRPr="003A0532">
        <w:rPr>
          <w:rFonts w:cs="Times New Roman"/>
          <w:i/>
          <w:lang w:val="fr-FR"/>
        </w:rPr>
        <w:t>fanshi bu zhi</w:t>
      </w:r>
      <w:r w:rsidR="003A0532">
        <w:rPr>
          <w:rFonts w:cs="Times New Roman"/>
          <w:lang w:val="fr-FR"/>
        </w:rPr>
        <w:t xml:space="preserve"> notion came into play.</w:t>
      </w:r>
    </w:p>
    <w:p w14:paraId="62495598" w14:textId="2B27D6EC" w:rsidR="003A0532" w:rsidRDefault="003A0532" w:rsidP="001C6EAC">
      <w:pPr>
        <w:ind w:firstLine="284"/>
        <w:jc w:val="both"/>
        <w:rPr>
          <w:rFonts w:cs="Times New Roman"/>
          <w:lang w:val="fr-FR"/>
        </w:rPr>
      </w:pPr>
      <w:r>
        <w:rPr>
          <w:rFonts w:cs="Times New Roman"/>
          <w:lang w:val="fr-FR"/>
        </w:rPr>
        <w:t xml:space="preserve">Let us start by a brief presentation of the </w:t>
      </w:r>
      <w:r w:rsidR="009B295A">
        <w:rPr>
          <w:rFonts w:cs="Times New Roman"/>
          <w:lang w:val="fr-FR"/>
        </w:rPr>
        <w:t>four</w:t>
      </w:r>
      <w:r>
        <w:rPr>
          <w:rFonts w:cs="Times New Roman"/>
          <w:lang w:val="fr-FR"/>
        </w:rPr>
        <w:t xml:space="preserve"> non-kin related affairs. </w:t>
      </w:r>
      <w:r w:rsidR="00304A38">
        <w:rPr>
          <w:rFonts w:cs="Times New Roman"/>
          <w:lang w:val="fr-FR"/>
        </w:rPr>
        <w:t>The first dates back to 1808</w:t>
      </w:r>
      <w:r w:rsidR="009B295A">
        <w:rPr>
          <w:rFonts w:cs="Times New Roman"/>
          <w:lang w:val="fr-FR"/>
        </w:rPr>
        <w:t xml:space="preserve"> and involves </w:t>
      </w:r>
      <w:r w:rsidR="00304A38">
        <w:rPr>
          <w:rFonts w:cs="Times New Roman"/>
          <w:lang w:val="fr-FR"/>
        </w:rPr>
        <w:t xml:space="preserve">a certain Ma Diancheng </w:t>
      </w:r>
      <w:r w:rsidR="00304A38">
        <w:rPr>
          <w:rFonts w:ascii="新細明體" w:eastAsia="新細明體" w:hAnsi="新細明體" w:cs="新細明體" w:hint="eastAsia"/>
          <w:lang w:val="fr-FR" w:eastAsia="zh-TW"/>
        </w:rPr>
        <w:t>馬墊成</w:t>
      </w:r>
      <w:r w:rsidR="00304A38">
        <w:rPr>
          <w:rFonts w:eastAsia="新細明體" w:cs="Times New Roman"/>
          <w:lang w:val="fr-FR" w:eastAsia="zh-TW"/>
        </w:rPr>
        <w:t xml:space="preserve">, </w:t>
      </w:r>
      <w:r w:rsidR="00304A38">
        <w:rPr>
          <w:rFonts w:cs="Times New Roman"/>
          <w:lang w:val="fr-FR"/>
        </w:rPr>
        <w:t>manager of an inn somwhere in Henan province</w:t>
      </w:r>
      <w:r w:rsidR="00304A38">
        <w:rPr>
          <w:rStyle w:val="Marquenotebasdepage"/>
          <w:rFonts w:cs="Times New Roman"/>
          <w:lang w:val="fr-FR"/>
        </w:rPr>
        <w:footnoteReference w:id="51"/>
      </w:r>
      <w:r w:rsidR="00304A38">
        <w:rPr>
          <w:rFonts w:cs="Times New Roman"/>
          <w:lang w:val="fr-FR"/>
        </w:rPr>
        <w:t xml:space="preserve">. During the night of October 17, 1808, the inn was </w:t>
      </w:r>
      <w:r w:rsidR="00404AAA">
        <w:rPr>
          <w:rFonts w:cs="Times New Roman"/>
          <w:lang w:val="fr-FR"/>
        </w:rPr>
        <w:t xml:space="preserve">attacked by robbers and one of the clients, a man named Li Deyu </w:t>
      </w:r>
      <w:r w:rsidR="00404AAA">
        <w:rPr>
          <w:rFonts w:ascii="新細明體" w:eastAsia="新細明體" w:hAnsi="新細明體" w:cs="新細明體" w:hint="eastAsia"/>
          <w:lang w:val="fr-FR" w:eastAsia="zh-TW"/>
        </w:rPr>
        <w:t>李得玉</w:t>
      </w:r>
      <w:r w:rsidR="00404AAA">
        <w:rPr>
          <w:rFonts w:cs="Times New Roman"/>
          <w:lang w:val="fr-FR"/>
        </w:rPr>
        <w:t xml:space="preserve">, flying for his life, hid in the backyard of the premises. Whilst trying to chase the robbers away, Ma Diancheng went through the backyard and heard a noise. Suspecting that one of them had hidden there, he called out for the person to identify himself, without response. Having discerned the position of the individual in the dark, he ran forward and stabbed him a first time. Fearing the man would get back up and respond, he then stabbed him several times, causing his death. This affair was most probably inserted in the part of the </w:t>
      </w:r>
      <w:r w:rsidR="00404AAA" w:rsidRPr="007676BC">
        <w:rPr>
          <w:rFonts w:cs="Times New Roman"/>
          <w:i/>
          <w:lang w:val="fr-FR"/>
        </w:rPr>
        <w:t>Xing’an huilan</w:t>
      </w:r>
      <w:r w:rsidR="00404AAA">
        <w:rPr>
          <w:rFonts w:cs="Times New Roman"/>
          <w:lang w:val="fr-FR"/>
        </w:rPr>
        <w:t xml:space="preserve"> (</w:t>
      </w:r>
      <w:r w:rsidR="00404AAA">
        <w:rPr>
          <w:rFonts w:ascii="新細明體" w:eastAsia="新細明體" w:hAnsi="新細明體" w:cs="新細明體" w:hint="eastAsia"/>
          <w:lang w:val="fr-FR" w:eastAsia="zh-TW"/>
        </w:rPr>
        <w:t>刑案匯覽</w:t>
      </w:r>
      <w:r w:rsidR="00404AAA">
        <w:rPr>
          <w:rFonts w:cs="Times New Roman"/>
          <w:lang w:val="fr-FR"/>
        </w:rPr>
        <w:t xml:space="preserve">) devoted to </w:t>
      </w:r>
      <w:r w:rsidR="00404AAA" w:rsidRPr="00404AAA">
        <w:rPr>
          <w:rFonts w:cs="Times New Roman"/>
          <w:i/>
          <w:lang w:val="fr-FR"/>
        </w:rPr>
        <w:t>fanshi bu zhi</w:t>
      </w:r>
      <w:r w:rsidR="00404AAA">
        <w:rPr>
          <w:rFonts w:cs="Times New Roman"/>
          <w:lang w:val="fr-FR"/>
        </w:rPr>
        <w:t xml:space="preserve"> not </w:t>
      </w:r>
      <w:r w:rsidR="007676BC">
        <w:rPr>
          <w:rFonts w:cs="Times New Roman"/>
          <w:lang w:val="fr-FR"/>
        </w:rPr>
        <w:t>because the notion was used in the adjudication process – it actually wasn’t –, but because the compilers of the collection certainly considered it should have</w:t>
      </w:r>
      <w:r w:rsidR="007676BC">
        <w:rPr>
          <w:rStyle w:val="Marquenotebasdepage"/>
          <w:rFonts w:cs="Times New Roman"/>
          <w:lang w:val="fr-FR"/>
        </w:rPr>
        <w:footnoteReference w:id="52"/>
      </w:r>
      <w:r w:rsidR="007676BC">
        <w:rPr>
          <w:rFonts w:cs="Times New Roman"/>
          <w:lang w:val="fr-FR"/>
        </w:rPr>
        <w:t xml:space="preserve">. Indeed, it does provide some insights on the type of situation in which the notion could be brought forth: most commonly brawls or some sorts of </w:t>
      </w:r>
      <w:r w:rsidR="00B91A2A">
        <w:rPr>
          <w:rFonts w:cs="Times New Roman"/>
          <w:lang w:val="fr-FR"/>
        </w:rPr>
        <w:t>aggression</w:t>
      </w:r>
      <w:r w:rsidR="007676BC">
        <w:rPr>
          <w:rFonts w:cs="Times New Roman"/>
          <w:lang w:val="fr-FR"/>
        </w:rPr>
        <w:t>, in which the defendant had used force</w:t>
      </w:r>
      <w:r w:rsidR="00B91A2A">
        <w:rPr>
          <w:rFonts w:cs="Times New Roman"/>
          <w:lang w:val="fr-FR"/>
        </w:rPr>
        <w:t xml:space="preserve"> with dreadful consequences, without knowing whom he was actually fighting against.</w:t>
      </w:r>
    </w:p>
    <w:p w14:paraId="79BB0515" w14:textId="005CBFA0" w:rsidR="007F727B" w:rsidRDefault="00B91A2A" w:rsidP="001C6EAC">
      <w:pPr>
        <w:ind w:firstLine="284"/>
        <w:jc w:val="both"/>
        <w:rPr>
          <w:rFonts w:cs="Times New Roman"/>
          <w:lang w:val="fr-FR"/>
        </w:rPr>
      </w:pPr>
      <w:r>
        <w:rPr>
          <w:rFonts w:cs="Times New Roman"/>
          <w:lang w:val="fr-FR"/>
        </w:rPr>
        <w:t xml:space="preserve">This is well conveyed in the remaining three “ordinary” cases: the first, found in a </w:t>
      </w:r>
      <w:r w:rsidRPr="00B91A2A">
        <w:rPr>
          <w:rFonts w:cs="Times New Roman"/>
          <w:i/>
          <w:lang w:val="fr-FR"/>
        </w:rPr>
        <w:t>shuotie</w:t>
      </w:r>
      <w:r>
        <w:rPr>
          <w:rFonts w:cs="Times New Roman"/>
          <w:lang w:val="fr-FR"/>
        </w:rPr>
        <w:t xml:space="preserve"> (</w:t>
      </w:r>
      <w:r>
        <w:rPr>
          <w:rFonts w:ascii="新細明體" w:eastAsia="新細明體" w:hAnsi="新細明體" w:cs="新細明體" w:hint="eastAsia"/>
          <w:lang w:val="fr-FR" w:eastAsia="zh-TW"/>
        </w:rPr>
        <w:t>說帖</w:t>
      </w:r>
      <w:r w:rsidR="00EE461B">
        <w:rPr>
          <w:rFonts w:cs="Times New Roman"/>
          <w:lang w:val="fr-FR"/>
        </w:rPr>
        <w:t>) dated 1814, involves a blind man who, having stumbled in the street, inadvertently banged into another individual. The latter having yelled at him, the two got into a short fight, which ended as soon as the blind man understood from the onlookers that his opponent happened to be a soldier patrolling the streets. On the grounds of the blind man</w:t>
      </w:r>
      <w:r w:rsidR="00796707">
        <w:rPr>
          <w:rFonts w:cs="Times New Roman"/>
          <w:lang w:val="fr-FR"/>
        </w:rPr>
        <w:t>’s</w:t>
      </w:r>
      <w:r w:rsidR="00EE461B">
        <w:rPr>
          <w:rFonts w:cs="Times New Roman"/>
          <w:lang w:val="fr-FR"/>
        </w:rPr>
        <w:t xml:space="preserve"> unawareness of his actual deed, the governor of </w:t>
      </w:r>
      <w:r w:rsidR="00796707">
        <w:rPr>
          <w:rFonts w:cs="Times New Roman"/>
          <w:lang w:val="fr-FR"/>
        </w:rPr>
        <w:t xml:space="preserve">Hubei </w:t>
      </w:r>
      <w:r w:rsidR="00EE461B">
        <w:rPr>
          <w:rFonts w:cs="Times New Roman"/>
          <w:lang w:val="fr-FR"/>
        </w:rPr>
        <w:t>province</w:t>
      </w:r>
      <w:r w:rsidR="00796707">
        <w:rPr>
          <w:rFonts w:cs="Times New Roman"/>
          <w:lang w:val="fr-FR"/>
        </w:rPr>
        <w:t>, where the facts had taken place,</w:t>
      </w:r>
      <w:r w:rsidR="00EE461B">
        <w:rPr>
          <w:rFonts w:cs="Times New Roman"/>
          <w:lang w:val="fr-FR"/>
        </w:rPr>
        <w:t xml:space="preserve"> sentenced the culprit to the same punishment as if the fight had opposed two ordinary individuals</w:t>
      </w:r>
      <w:r w:rsidR="00EE461B">
        <w:rPr>
          <w:rStyle w:val="Marquenotebasdepage"/>
          <w:rFonts w:cs="Times New Roman"/>
          <w:lang w:val="fr-FR"/>
        </w:rPr>
        <w:footnoteReference w:id="53"/>
      </w:r>
      <w:r w:rsidR="007F727B">
        <w:rPr>
          <w:rFonts w:cs="Times New Roman"/>
          <w:lang w:val="fr-FR"/>
        </w:rPr>
        <w:t>.</w:t>
      </w:r>
    </w:p>
    <w:p w14:paraId="326CEE28" w14:textId="6233D911" w:rsidR="00B91A2A" w:rsidRDefault="00037BE5" w:rsidP="001C6EAC">
      <w:pPr>
        <w:ind w:firstLine="284"/>
        <w:jc w:val="both"/>
        <w:rPr>
          <w:rFonts w:cs="Times New Roman"/>
          <w:lang w:val="fr-FR"/>
        </w:rPr>
      </w:pPr>
      <w:r>
        <w:rPr>
          <w:rFonts w:cs="Times New Roman"/>
          <w:lang w:val="fr-FR"/>
        </w:rPr>
        <w:t>In a smiliar, yet more dramatic situation</w:t>
      </w:r>
      <w:r w:rsidR="00796707">
        <w:rPr>
          <w:rFonts w:cs="Times New Roman"/>
          <w:lang w:val="fr-FR"/>
        </w:rPr>
        <w:t>,</w:t>
      </w:r>
      <w:r>
        <w:rPr>
          <w:rFonts w:cs="Times New Roman"/>
          <w:lang w:val="fr-FR"/>
        </w:rPr>
        <w:t xml:space="preserve"> dating back this time to 1822, two public officers drowned while they tried to escape a group of people who had mistakenly taken them for robbers. This unfortunate event took place in Guangdong province, and yet again during night time. Suspecting – without reason – a shop owner named Fu Juzhong (</w:t>
      </w:r>
      <w:r>
        <w:rPr>
          <w:rFonts w:ascii="新細明體" w:eastAsia="新細明體" w:hAnsi="新細明體" w:cs="新細明體" w:hint="eastAsia"/>
          <w:lang w:val="fr-FR" w:eastAsia="zh-TW"/>
        </w:rPr>
        <w:t>傅巨中</w:t>
      </w:r>
      <w:r>
        <w:rPr>
          <w:rFonts w:cs="Times New Roman"/>
          <w:lang w:val="fr-FR"/>
        </w:rPr>
        <w:t xml:space="preserve">) of hiding suspect individuals in his shop, the two men raided the house </w:t>
      </w:r>
      <w:r w:rsidR="00992FC0">
        <w:rPr>
          <w:rFonts w:cs="Times New Roman"/>
          <w:lang w:val="fr-FR"/>
        </w:rPr>
        <w:t xml:space="preserve">on </w:t>
      </w:r>
      <w:r>
        <w:rPr>
          <w:rFonts w:cs="Times New Roman"/>
          <w:lang w:val="fr-FR"/>
        </w:rPr>
        <w:t>one rainy night. Woken up in the middle of the night by their banging on his door, Fu, after hav</w:t>
      </w:r>
      <w:r w:rsidR="00992FC0">
        <w:rPr>
          <w:rFonts w:cs="Times New Roman"/>
          <w:lang w:val="fr-FR"/>
        </w:rPr>
        <w:t>ing received no indicat</w:t>
      </w:r>
      <w:r>
        <w:rPr>
          <w:rFonts w:cs="Times New Roman"/>
          <w:lang w:val="fr-FR"/>
        </w:rPr>
        <w:t xml:space="preserve">ion of who they were, </w:t>
      </w:r>
      <w:r w:rsidR="00992FC0">
        <w:rPr>
          <w:rFonts w:cs="Times New Roman"/>
          <w:lang w:val="fr-FR"/>
        </w:rPr>
        <w:t xml:space="preserve">first </w:t>
      </w:r>
      <w:r>
        <w:rPr>
          <w:rFonts w:cs="Times New Roman"/>
          <w:lang w:val="fr-FR"/>
        </w:rPr>
        <w:t xml:space="preserve">asked them to come back in the morning. The group refusing to leave, </w:t>
      </w:r>
      <w:r w:rsidR="00992FC0">
        <w:rPr>
          <w:rFonts w:cs="Times New Roman"/>
          <w:lang w:val="fr-FR"/>
        </w:rPr>
        <w:t xml:space="preserve">he suspected they had come to rob his place, and thus </w:t>
      </w:r>
      <w:r w:rsidR="007F727B">
        <w:rPr>
          <w:rFonts w:cs="Times New Roman"/>
          <w:lang w:val="fr-FR"/>
        </w:rPr>
        <w:t>made use of an ala</w:t>
      </w:r>
      <w:r>
        <w:rPr>
          <w:rFonts w:cs="Times New Roman"/>
          <w:lang w:val="fr-FR"/>
        </w:rPr>
        <w:t>rm signal known to the villagers</w:t>
      </w:r>
      <w:r w:rsidR="00992FC0">
        <w:rPr>
          <w:rFonts w:cs="Times New Roman"/>
          <w:lang w:val="fr-FR"/>
        </w:rPr>
        <w:t>, who rapidly congregated. The two and their group fled, but fell in the river while tr</w:t>
      </w:r>
      <w:r w:rsidR="007F727B">
        <w:rPr>
          <w:rFonts w:cs="Times New Roman"/>
          <w:lang w:val="fr-FR"/>
        </w:rPr>
        <w:t xml:space="preserve">ying to get back on their boat. </w:t>
      </w:r>
      <w:r w:rsidR="00992FC0">
        <w:rPr>
          <w:rFonts w:cs="Times New Roman"/>
          <w:lang w:val="fr-FR"/>
        </w:rPr>
        <w:t xml:space="preserve">This time, the </w:t>
      </w:r>
      <w:r w:rsidR="00992FC0" w:rsidRPr="00992FC0">
        <w:rPr>
          <w:rFonts w:cs="Times New Roman"/>
          <w:i/>
          <w:lang w:val="fr-FR"/>
        </w:rPr>
        <w:t>fanshi bu zhi</w:t>
      </w:r>
      <w:r w:rsidR="00992FC0">
        <w:rPr>
          <w:rFonts w:cs="Times New Roman"/>
          <w:lang w:val="fr-FR"/>
        </w:rPr>
        <w:t xml:space="preserve"> notion was put forth by the Board of Punishment, whose administrators rejected the first sentence proposed by the governor of the province. Where the </w:t>
      </w:r>
      <w:r w:rsidR="00796707">
        <w:rPr>
          <w:rFonts w:cs="Times New Roman"/>
          <w:lang w:val="fr-FR"/>
        </w:rPr>
        <w:t>latter</w:t>
      </w:r>
      <w:r w:rsidR="00992FC0">
        <w:rPr>
          <w:rFonts w:cs="Times New Roman"/>
          <w:lang w:val="fr-FR"/>
        </w:rPr>
        <w:t xml:space="preserve"> had called for immediate strangulation for Fu, on the grounds of his deed having resulted in the loss of two lives he considered as </w:t>
      </w:r>
      <w:r w:rsidR="007F727B">
        <w:rPr>
          <w:rFonts w:cs="Times New Roman"/>
          <w:lang w:val="fr-FR"/>
        </w:rPr>
        <w:t>pertaining</w:t>
      </w:r>
      <w:r w:rsidR="00992FC0">
        <w:rPr>
          <w:rFonts w:cs="Times New Roman"/>
          <w:lang w:val="fr-FR"/>
        </w:rPr>
        <w:t xml:space="preserve"> to one family (</w:t>
      </w:r>
      <w:r w:rsidR="00992FC0" w:rsidRPr="00992FC0">
        <w:rPr>
          <w:rFonts w:cs="Times New Roman"/>
          <w:i/>
          <w:lang w:val="fr-FR"/>
        </w:rPr>
        <w:t>zhisi yi jia er ming</w:t>
      </w:r>
      <w:r w:rsidR="00992FC0">
        <w:rPr>
          <w:rFonts w:cs="Times New Roman"/>
          <w:lang w:val="fr-FR"/>
        </w:rPr>
        <w:t xml:space="preserve"> </w:t>
      </w:r>
      <w:r w:rsidR="00992FC0">
        <w:rPr>
          <w:rFonts w:ascii="新細明體" w:eastAsia="新細明體" w:hAnsi="新細明體" w:cs="新細明體" w:hint="eastAsia"/>
          <w:lang w:val="fr-FR" w:eastAsia="zh-TW"/>
        </w:rPr>
        <w:t>致死一家二命</w:t>
      </w:r>
      <w:r w:rsidR="00992FC0">
        <w:rPr>
          <w:rFonts w:cs="Times New Roman"/>
          <w:lang w:val="fr-FR"/>
        </w:rPr>
        <w:t>)</w:t>
      </w:r>
      <w:r w:rsidR="007F727B" w:rsidRPr="007F727B">
        <w:rPr>
          <w:rFonts w:cs="Times New Roman"/>
          <w:lang w:val="fr-FR"/>
        </w:rPr>
        <w:t xml:space="preserve"> </w:t>
      </w:r>
      <w:r w:rsidR="007F727B">
        <w:rPr>
          <w:rFonts w:cs="Times New Roman"/>
          <w:lang w:val="fr-FR"/>
        </w:rPr>
        <w:t>– that of the civil administration –</w:t>
      </w:r>
      <w:r w:rsidR="00992FC0">
        <w:rPr>
          <w:rFonts w:cs="Times New Roman"/>
          <w:lang w:val="fr-FR"/>
        </w:rPr>
        <w:t>, the Board evoked the “unawareness” of the defendant to turn the sentence into strangulation after Automn Assises, rejecting all tog</w:t>
      </w:r>
      <w:r w:rsidR="007F727B">
        <w:rPr>
          <w:rFonts w:cs="Times New Roman"/>
          <w:lang w:val="fr-FR"/>
        </w:rPr>
        <w:t>e</w:t>
      </w:r>
      <w:r w:rsidR="00992FC0">
        <w:rPr>
          <w:rFonts w:cs="Times New Roman"/>
          <w:lang w:val="fr-FR"/>
        </w:rPr>
        <w:t xml:space="preserve">ther the idea of </w:t>
      </w:r>
      <w:r w:rsidR="007F727B">
        <w:rPr>
          <w:rFonts w:cs="Times New Roman"/>
          <w:lang w:val="fr-FR"/>
        </w:rPr>
        <w:t xml:space="preserve">low level administrators as belonging to one </w:t>
      </w:r>
      <w:r w:rsidR="00992FC0">
        <w:rPr>
          <w:rFonts w:cs="Times New Roman"/>
          <w:lang w:val="fr-FR"/>
        </w:rPr>
        <w:t>family</w:t>
      </w:r>
      <w:r w:rsidR="007F727B">
        <w:rPr>
          <w:rStyle w:val="Marquenotebasdepage"/>
          <w:rFonts w:cs="Times New Roman"/>
          <w:lang w:val="fr-FR"/>
        </w:rPr>
        <w:footnoteReference w:id="54"/>
      </w:r>
      <w:r w:rsidR="00992FC0">
        <w:rPr>
          <w:rFonts w:cs="Times New Roman"/>
          <w:lang w:val="fr-FR"/>
        </w:rPr>
        <w:t>.</w:t>
      </w:r>
    </w:p>
    <w:p w14:paraId="6B3511D3" w14:textId="15F93F9F" w:rsidR="007F727B" w:rsidRDefault="007F727B" w:rsidP="001C6EAC">
      <w:pPr>
        <w:ind w:firstLine="284"/>
        <w:jc w:val="both"/>
        <w:rPr>
          <w:rFonts w:cs="Times New Roman"/>
          <w:lang w:val="fr-FR"/>
        </w:rPr>
      </w:pPr>
      <w:r>
        <w:rPr>
          <w:rFonts w:cs="Times New Roman"/>
          <w:lang w:val="fr-FR"/>
        </w:rPr>
        <w:t>The last case, here, was adjudicated by Zhili province in 1826, and resulted in the same sentence, strangulation after the Assises, as stipulated in the statute on death occuring during a brawl (</w:t>
      </w:r>
      <w:r w:rsidRPr="007F727B">
        <w:rPr>
          <w:rFonts w:cs="Times New Roman"/>
          <w:i/>
          <w:lang w:val="fr-FR"/>
        </w:rPr>
        <w:t>dousha</w:t>
      </w:r>
      <w:r>
        <w:rPr>
          <w:rFonts w:cs="Times New Roman"/>
          <w:lang w:val="fr-FR"/>
        </w:rPr>
        <w:t xml:space="preserve"> </w:t>
      </w:r>
      <w:r>
        <w:rPr>
          <w:rFonts w:ascii="新細明體" w:eastAsia="新細明體" w:hAnsi="新細明體" w:cs="新細明體" w:hint="eastAsia"/>
          <w:lang w:val="fr-FR" w:eastAsia="zh-TW"/>
        </w:rPr>
        <w:t>鬥殺</w:t>
      </w:r>
      <w:r>
        <w:rPr>
          <w:rFonts w:cs="Times New Roman"/>
          <w:lang w:val="fr-FR"/>
        </w:rPr>
        <w:t xml:space="preserve">). </w:t>
      </w:r>
      <w:r w:rsidR="009E475E">
        <w:rPr>
          <w:rFonts w:cs="Times New Roman"/>
          <w:lang w:val="fr-FR"/>
        </w:rPr>
        <w:t>The affair involved yet another public officer, on a duty to arrest gamblers. According to the very basic information provided in our source</w:t>
      </w:r>
      <w:r w:rsidR="009E475E">
        <w:rPr>
          <w:rStyle w:val="Marquenotebasdepage"/>
          <w:rFonts w:cs="Times New Roman"/>
          <w:lang w:val="fr-FR"/>
        </w:rPr>
        <w:footnoteReference w:id="55"/>
      </w:r>
      <w:r w:rsidR="009E475E">
        <w:rPr>
          <w:rFonts w:cs="Times New Roman"/>
          <w:lang w:val="fr-FR"/>
        </w:rPr>
        <w:t>, the man, dressed in ordinary clothing (</w:t>
      </w:r>
      <w:r w:rsidR="009E475E" w:rsidRPr="009E475E">
        <w:rPr>
          <w:rFonts w:cs="Times New Roman"/>
          <w:i/>
          <w:lang w:val="fr-FR"/>
        </w:rPr>
        <w:t>dai zhanmao shen chuan bianyi</w:t>
      </w:r>
      <w:r w:rsidR="009E475E">
        <w:rPr>
          <w:rFonts w:cs="Times New Roman"/>
          <w:lang w:val="fr-FR"/>
        </w:rPr>
        <w:t xml:space="preserve"> </w:t>
      </w:r>
      <w:r w:rsidR="009E475E">
        <w:rPr>
          <w:rFonts w:ascii="新細明體" w:eastAsia="新細明體" w:hAnsi="新細明體" w:cs="新細明體" w:hint="eastAsia"/>
          <w:lang w:val="fr-FR" w:eastAsia="zh-TW"/>
        </w:rPr>
        <w:t>戴氈帽身穿便衣</w:t>
      </w:r>
      <w:r w:rsidR="009E475E">
        <w:rPr>
          <w:rFonts w:cs="Times New Roman"/>
          <w:lang w:val="fr-FR"/>
        </w:rPr>
        <w:t xml:space="preserve">), was mistaken by one of the gamblers to be a swindler. In the affray that resulted, the officer lost his life. By putting forth the unawareness of the culprit, which the investigation made clear, the governor of Zhili was </w:t>
      </w:r>
      <w:r w:rsidR="00CD730E">
        <w:rPr>
          <w:rFonts w:cs="Times New Roman"/>
          <w:lang w:val="fr-FR"/>
        </w:rPr>
        <w:t xml:space="preserve">in a position </w:t>
      </w:r>
      <w:r w:rsidR="009E475E">
        <w:rPr>
          <w:rFonts w:cs="Times New Roman"/>
          <w:lang w:val="fr-FR"/>
        </w:rPr>
        <w:t>to ad</w:t>
      </w:r>
      <w:r w:rsidR="00CD730E">
        <w:rPr>
          <w:rFonts w:cs="Times New Roman"/>
          <w:lang w:val="fr-FR"/>
        </w:rPr>
        <w:t xml:space="preserve">judicate without </w:t>
      </w:r>
      <w:r w:rsidR="009E475E">
        <w:rPr>
          <w:rFonts w:cs="Times New Roman"/>
          <w:lang w:val="fr-FR"/>
        </w:rPr>
        <w:t xml:space="preserve">taking into consideration the status of the victim, a member of the </w:t>
      </w:r>
      <w:r w:rsidR="00CD730E">
        <w:rPr>
          <w:rFonts w:cs="Times New Roman"/>
          <w:lang w:val="fr-FR"/>
        </w:rPr>
        <w:t>local administration.</w:t>
      </w:r>
    </w:p>
    <w:p w14:paraId="71B53E95" w14:textId="2DCD3E84" w:rsidR="009E475E" w:rsidRDefault="00CD730E" w:rsidP="001C6EAC">
      <w:pPr>
        <w:ind w:firstLine="284"/>
        <w:jc w:val="both"/>
        <w:rPr>
          <w:rFonts w:cs="Times New Roman"/>
          <w:lang w:val="fr-FR"/>
        </w:rPr>
      </w:pPr>
      <w:r>
        <w:rPr>
          <w:rFonts w:cs="Times New Roman"/>
          <w:lang w:val="fr-FR"/>
        </w:rPr>
        <w:t xml:space="preserve">It would of course be </w:t>
      </w:r>
      <w:r w:rsidR="00191846">
        <w:rPr>
          <w:rFonts w:cs="Times New Roman"/>
          <w:lang w:val="fr-FR"/>
        </w:rPr>
        <w:t xml:space="preserve">daring to </w:t>
      </w:r>
      <w:r>
        <w:rPr>
          <w:rFonts w:cs="Times New Roman"/>
          <w:lang w:val="fr-FR"/>
        </w:rPr>
        <w:t xml:space="preserve">draw </w:t>
      </w:r>
      <w:r w:rsidR="00191846">
        <w:rPr>
          <w:rFonts w:cs="Times New Roman"/>
          <w:lang w:val="fr-FR"/>
        </w:rPr>
        <w:t xml:space="preserve">a general </w:t>
      </w:r>
      <w:r>
        <w:rPr>
          <w:rFonts w:cs="Times New Roman"/>
          <w:lang w:val="fr-FR"/>
        </w:rPr>
        <w:t xml:space="preserve">conclusion from </w:t>
      </w:r>
      <w:r w:rsidR="00191846">
        <w:rPr>
          <w:rFonts w:cs="Times New Roman"/>
          <w:lang w:val="fr-FR"/>
        </w:rPr>
        <w:t>these fews cases. Neverthless, they do provide a first framework for interpretation. As mentioned above, all of them include violence committed in the wake of a fight, resulting, generally, in severe consequences. The “unawareness” called for in order to mitigate the punishment relates in general to the context – night time</w:t>
      </w:r>
      <w:r w:rsidR="00DC31F9">
        <w:rPr>
          <w:rFonts w:cs="Times New Roman"/>
          <w:lang w:val="fr-FR"/>
        </w:rPr>
        <w:t xml:space="preserve"> (with or without a situation of </w:t>
      </w:r>
      <w:r w:rsidR="008A3D03">
        <w:rPr>
          <w:rFonts w:cs="Times New Roman"/>
          <w:lang w:val="fr-FR"/>
        </w:rPr>
        <w:t>tension or crisis</w:t>
      </w:r>
      <w:r w:rsidR="00DC31F9">
        <w:rPr>
          <w:rFonts w:cs="Times New Roman"/>
          <w:lang w:val="fr-FR"/>
        </w:rPr>
        <w:t>)</w:t>
      </w:r>
      <w:r w:rsidR="00191846">
        <w:rPr>
          <w:rFonts w:cs="Times New Roman"/>
          <w:lang w:val="fr-FR"/>
        </w:rPr>
        <w:t xml:space="preserve">, ordinary </w:t>
      </w:r>
      <w:r w:rsidR="002B5002">
        <w:rPr>
          <w:rFonts w:cs="Times New Roman"/>
          <w:lang w:val="fr-FR"/>
        </w:rPr>
        <w:t>rather than official clothing, physical disability</w:t>
      </w:r>
      <w:r w:rsidR="008A3D03">
        <w:rPr>
          <w:rFonts w:cs="Times New Roman"/>
          <w:lang w:val="fr-FR"/>
        </w:rPr>
        <w:t xml:space="preserve"> –</w:t>
      </w:r>
      <w:r w:rsidR="002B5002">
        <w:rPr>
          <w:rFonts w:cs="Times New Roman"/>
          <w:lang w:val="fr-FR"/>
        </w:rPr>
        <w:t xml:space="preserve"> and results, in the latter three cases, in the possibility to set aside the status of the victims, all public officers. As we will see, this was a central aspect of the handling of cases in which family ties existed. On the basis of these few comments, it seems that the notio</w:t>
      </w:r>
      <w:r w:rsidR="00EE4E1D">
        <w:rPr>
          <w:rFonts w:cs="Times New Roman"/>
          <w:lang w:val="fr-FR"/>
        </w:rPr>
        <w:t>n</w:t>
      </w:r>
      <w:r w:rsidR="002B5002">
        <w:rPr>
          <w:rFonts w:cs="Times New Roman"/>
          <w:lang w:val="fr-FR"/>
        </w:rPr>
        <w:t xml:space="preserve"> of </w:t>
      </w:r>
      <w:r w:rsidR="002B5002" w:rsidRPr="002B5002">
        <w:rPr>
          <w:rFonts w:cs="Times New Roman"/>
          <w:i/>
          <w:lang w:val="fr-FR"/>
        </w:rPr>
        <w:t>fanshi bu zhi</w:t>
      </w:r>
      <w:r w:rsidR="002B5002">
        <w:rPr>
          <w:rFonts w:cs="Times New Roman"/>
          <w:lang w:val="fr-FR"/>
        </w:rPr>
        <w:t xml:space="preserve"> </w:t>
      </w:r>
      <w:r w:rsidR="00EE4E1D">
        <w:rPr>
          <w:rFonts w:cs="Times New Roman"/>
          <w:lang w:val="fr-FR"/>
        </w:rPr>
        <w:t>can partly be associated</w:t>
      </w:r>
      <w:r w:rsidR="002B5002">
        <w:rPr>
          <w:rFonts w:cs="Times New Roman"/>
          <w:lang w:val="fr-FR"/>
        </w:rPr>
        <w:t xml:space="preserve">, in the gradation of criminal intentions devised in China’s legal culture, </w:t>
      </w:r>
      <w:r w:rsidR="00EE4E1D">
        <w:rPr>
          <w:rFonts w:cs="Times New Roman"/>
          <w:lang w:val="fr-FR"/>
        </w:rPr>
        <w:t xml:space="preserve">to </w:t>
      </w:r>
      <w:r w:rsidR="002B5002">
        <w:rPr>
          <w:rFonts w:cs="Times New Roman"/>
          <w:lang w:val="fr-FR"/>
        </w:rPr>
        <w:t>the notion of negligence (</w:t>
      </w:r>
      <w:r w:rsidR="002B5002" w:rsidRPr="002B5002">
        <w:rPr>
          <w:rFonts w:cs="Times New Roman"/>
          <w:i/>
          <w:lang w:val="fr-FR"/>
        </w:rPr>
        <w:t>wu</w:t>
      </w:r>
      <w:r w:rsidR="002B5002">
        <w:rPr>
          <w:rFonts w:cs="Times New Roman"/>
          <w:lang w:val="fr-FR"/>
        </w:rPr>
        <w:t xml:space="preserve"> </w:t>
      </w:r>
      <w:r w:rsidR="002B5002">
        <w:rPr>
          <w:rFonts w:ascii="新細明體" w:eastAsia="新細明體" w:hAnsi="新細明體" w:cs="新細明體" w:hint="eastAsia"/>
          <w:lang w:val="fr-FR" w:eastAsia="zh-TW"/>
        </w:rPr>
        <w:t>誤</w:t>
      </w:r>
      <w:r w:rsidR="002B5002">
        <w:rPr>
          <w:rFonts w:cs="Times New Roman"/>
          <w:lang w:val="fr-FR"/>
        </w:rPr>
        <w:t>)</w:t>
      </w:r>
      <w:r w:rsidR="00EE4E1D">
        <w:rPr>
          <w:rFonts w:cs="Times New Roman"/>
          <w:lang w:val="fr-FR"/>
        </w:rPr>
        <w:t xml:space="preserve"> we have mentioned above. Both share the violence resorted to by</w:t>
      </w:r>
      <w:r w:rsidR="00796707">
        <w:rPr>
          <w:rFonts w:cs="Times New Roman"/>
          <w:lang w:val="fr-FR"/>
        </w:rPr>
        <w:t xml:space="preserve"> the defendant, which proscribed</w:t>
      </w:r>
      <w:r w:rsidR="00EE4E1D">
        <w:rPr>
          <w:rFonts w:cs="Times New Roman"/>
          <w:lang w:val="fr-FR"/>
        </w:rPr>
        <w:t xml:space="preserve">, in the system as it was designed, the possibility to designate the act as unintentional. But the “unawareness” advocated does add a nuance: the fact that in the context, as the above example tend to show, the defendant could not have known the penal extent of his or her act, a point the </w:t>
      </w:r>
      <w:r w:rsidR="00796707">
        <w:rPr>
          <w:rFonts w:cs="Times New Roman"/>
          <w:lang w:val="fr-FR"/>
        </w:rPr>
        <w:t xml:space="preserve">jurists felt </w:t>
      </w:r>
      <w:r w:rsidR="00EE4E1D">
        <w:rPr>
          <w:rFonts w:cs="Times New Roman"/>
          <w:lang w:val="fr-FR"/>
        </w:rPr>
        <w:t xml:space="preserve">had to </w:t>
      </w:r>
      <w:r w:rsidR="00796707">
        <w:rPr>
          <w:rFonts w:cs="Times New Roman"/>
          <w:lang w:val="fr-FR"/>
        </w:rPr>
        <w:t xml:space="preserve">be </w:t>
      </w:r>
      <w:r w:rsidR="00EE4E1D">
        <w:rPr>
          <w:rFonts w:cs="Times New Roman"/>
          <w:lang w:val="fr-FR"/>
        </w:rPr>
        <w:t>take</w:t>
      </w:r>
      <w:r w:rsidR="00796707">
        <w:rPr>
          <w:rFonts w:cs="Times New Roman"/>
          <w:lang w:val="fr-FR"/>
        </w:rPr>
        <w:t>n</w:t>
      </w:r>
      <w:r w:rsidR="00EE4E1D">
        <w:rPr>
          <w:rFonts w:cs="Times New Roman"/>
          <w:lang w:val="fr-FR"/>
        </w:rPr>
        <w:t xml:space="preserve"> into account</w:t>
      </w:r>
      <w:r w:rsidR="00796707">
        <w:rPr>
          <w:rFonts w:cs="Times New Roman"/>
          <w:lang w:val="fr-FR"/>
        </w:rPr>
        <w:t xml:space="preserve"> in the adjudication process</w:t>
      </w:r>
      <w:r w:rsidR="00EE4E1D">
        <w:rPr>
          <w:rFonts w:cs="Times New Roman"/>
          <w:lang w:val="fr-FR"/>
        </w:rPr>
        <w:t>.</w:t>
      </w:r>
    </w:p>
    <w:p w14:paraId="4214F43A" w14:textId="77777777" w:rsidR="001C6EAC" w:rsidRDefault="001C6EAC" w:rsidP="001C6EAC">
      <w:pPr>
        <w:jc w:val="both"/>
        <w:rPr>
          <w:rFonts w:cs="Times New Roman"/>
          <w:lang w:val="fr-FR"/>
        </w:rPr>
      </w:pPr>
    </w:p>
    <w:p w14:paraId="38EA30DC" w14:textId="0B612EF5" w:rsidR="001C6EAC" w:rsidRDefault="001C6EAC" w:rsidP="001C6EAC">
      <w:pPr>
        <w:jc w:val="both"/>
        <w:rPr>
          <w:rFonts w:cs="Times New Roman"/>
          <w:lang w:val="fr-FR"/>
        </w:rPr>
      </w:pPr>
      <w:r>
        <w:rPr>
          <w:rFonts w:cs="Times New Roman"/>
          <w:lang w:val="fr-FR"/>
        </w:rPr>
        <w:t>2. “Unawareness” inside the family structure</w:t>
      </w:r>
    </w:p>
    <w:p w14:paraId="25188999" w14:textId="1130AC4C" w:rsidR="002B5002" w:rsidRDefault="00DC31F9" w:rsidP="001C6EAC">
      <w:pPr>
        <w:ind w:firstLine="284"/>
        <w:jc w:val="both"/>
        <w:rPr>
          <w:rFonts w:cs="Times New Roman"/>
          <w:lang w:val="fr-FR"/>
        </w:rPr>
      </w:pPr>
      <w:r>
        <w:rPr>
          <w:rFonts w:cs="Times New Roman"/>
          <w:lang w:val="fr-FR"/>
        </w:rPr>
        <w:t xml:space="preserve">When we turn our gazes towards the affairs involving kins, the preceding comments hold true. The context was yet again central for the unawareness to be advocated. </w:t>
      </w:r>
      <w:r w:rsidR="008A3D03">
        <w:rPr>
          <w:rFonts w:cs="Times New Roman"/>
          <w:lang w:val="fr-FR"/>
        </w:rPr>
        <w:t xml:space="preserve">In </w:t>
      </w:r>
      <w:r>
        <w:rPr>
          <w:rFonts w:cs="Times New Roman"/>
          <w:lang w:val="fr-FR"/>
        </w:rPr>
        <w:t>al</w:t>
      </w:r>
      <w:r w:rsidR="008A3D03">
        <w:rPr>
          <w:rFonts w:cs="Times New Roman"/>
          <w:lang w:val="fr-FR"/>
        </w:rPr>
        <w:t xml:space="preserve">l the cases I have reviewed, the </w:t>
      </w:r>
      <w:r>
        <w:rPr>
          <w:rFonts w:cs="Times New Roman"/>
          <w:lang w:val="fr-FR"/>
        </w:rPr>
        <w:t xml:space="preserve">defendant attacked his </w:t>
      </w:r>
      <w:r w:rsidR="008A3D03">
        <w:rPr>
          <w:rFonts w:cs="Times New Roman"/>
          <w:lang w:val="fr-FR"/>
        </w:rPr>
        <w:t xml:space="preserve">victim </w:t>
      </w:r>
      <w:r>
        <w:rPr>
          <w:rFonts w:cs="Times New Roman"/>
          <w:lang w:val="fr-FR"/>
        </w:rPr>
        <w:t xml:space="preserve">during the night, when unable to discern who </w:t>
      </w:r>
      <w:r w:rsidR="008A3D03">
        <w:rPr>
          <w:rFonts w:cs="Times New Roman"/>
          <w:lang w:val="fr-FR"/>
        </w:rPr>
        <w:t xml:space="preserve">exactly took part in the brawl. But here, another factor pertaining to the context added weight to this first dimension: the fact that the defendant was up at night, and often armed, because prior events had led to </w:t>
      </w:r>
      <w:r w:rsidR="00792819">
        <w:rPr>
          <w:rFonts w:cs="Times New Roman"/>
          <w:lang w:val="fr-FR"/>
        </w:rPr>
        <w:t>a state of suspicion. The foll</w:t>
      </w:r>
      <w:r w:rsidR="00792819" w:rsidRPr="00792819">
        <w:rPr>
          <w:rFonts w:eastAsia="新細明體" w:cs="Times New Roman"/>
          <w:lang w:val="fr-FR" w:eastAsia="zh-TW"/>
        </w:rPr>
        <w:t>o</w:t>
      </w:r>
      <w:r w:rsidR="00792819">
        <w:rPr>
          <w:rFonts w:cs="Times New Roman"/>
          <w:lang w:val="fr-FR"/>
        </w:rPr>
        <w:t>wi</w:t>
      </w:r>
      <w:r w:rsidR="008A3D03">
        <w:rPr>
          <w:rFonts w:cs="Times New Roman"/>
          <w:lang w:val="fr-FR"/>
        </w:rPr>
        <w:t>ng example will make this clear</w:t>
      </w:r>
      <w:r w:rsidR="00580BFC">
        <w:rPr>
          <w:rStyle w:val="Marquenotebasdepage"/>
          <w:rFonts w:cs="Times New Roman"/>
          <w:lang w:val="fr-FR"/>
        </w:rPr>
        <w:footnoteReference w:id="56"/>
      </w:r>
      <w:r w:rsidR="008A3D03">
        <w:rPr>
          <w:rFonts w:cs="Times New Roman"/>
          <w:lang w:val="fr-FR"/>
        </w:rPr>
        <w:t>.</w:t>
      </w:r>
      <w:r w:rsidR="00792819">
        <w:rPr>
          <w:rFonts w:cs="Times New Roman"/>
          <w:lang w:val="fr-FR"/>
        </w:rPr>
        <w:t xml:space="preserve"> On </w:t>
      </w:r>
      <w:r w:rsidR="00796707">
        <w:rPr>
          <w:rFonts w:cs="Times New Roman"/>
          <w:lang w:val="fr-FR"/>
        </w:rPr>
        <w:t xml:space="preserve">the evening of </w:t>
      </w:r>
      <w:r w:rsidR="00792819">
        <w:rPr>
          <w:rFonts w:cs="Times New Roman"/>
          <w:lang w:val="fr-FR"/>
        </w:rPr>
        <w:t xml:space="preserve">May 3, 1703, Fan Huang </w:t>
      </w:r>
      <w:r w:rsidR="00792819">
        <w:rPr>
          <w:rFonts w:ascii="新細明體" w:eastAsia="新細明體" w:hAnsi="新細明體" w:cs="新細明體" w:hint="eastAsia"/>
          <w:lang w:val="fr-FR" w:eastAsia="zh-TW"/>
        </w:rPr>
        <w:t>樊璜</w:t>
      </w:r>
      <w:r w:rsidR="00792819">
        <w:rPr>
          <w:rFonts w:cs="Times New Roman"/>
          <w:lang w:val="fr-FR"/>
        </w:rPr>
        <w:t xml:space="preserve"> and his son, Fan Chongyou </w:t>
      </w:r>
      <w:r w:rsidR="00792819">
        <w:rPr>
          <w:rFonts w:ascii="新細明體" w:eastAsia="新細明體" w:hAnsi="新細明體" w:cs="新細明體" w:hint="eastAsia"/>
          <w:lang w:val="fr-FR" w:eastAsia="zh-TW"/>
        </w:rPr>
        <w:t>樊崇友</w:t>
      </w:r>
      <w:r w:rsidR="00792819">
        <w:rPr>
          <w:rFonts w:cs="Times New Roman"/>
          <w:lang w:val="fr-FR"/>
        </w:rPr>
        <w:t xml:space="preserve">, coming back from Zhijiazhuang </w:t>
      </w:r>
      <w:r w:rsidR="00792819">
        <w:rPr>
          <w:rFonts w:ascii="新細明體" w:eastAsia="新細明體" w:hAnsi="新細明體" w:cs="新細明體" w:hint="eastAsia"/>
          <w:lang w:val="fr-FR" w:eastAsia="zh-TW"/>
        </w:rPr>
        <w:t>智家莊</w:t>
      </w:r>
      <w:r w:rsidR="00792819">
        <w:rPr>
          <w:rFonts w:cs="Times New Roman"/>
          <w:lang w:val="fr-FR"/>
        </w:rPr>
        <w:t xml:space="preserve">, where they had gone the day before to buy trees, stopped at Fan Ke’s </w:t>
      </w:r>
      <w:r w:rsidR="00792819">
        <w:rPr>
          <w:rFonts w:ascii="新細明體" w:eastAsia="新細明體" w:hAnsi="新細明體" w:cs="新細明體" w:hint="eastAsia"/>
          <w:lang w:val="fr-FR" w:eastAsia="zh-TW"/>
        </w:rPr>
        <w:t>樊珂</w:t>
      </w:r>
      <w:r w:rsidR="00AC4B3B">
        <w:rPr>
          <w:rFonts w:eastAsia="新細明體" w:cs="Times New Roman"/>
          <w:lang w:val="fr-FR" w:eastAsia="zh-TW"/>
        </w:rPr>
        <w:t xml:space="preserve"> </w:t>
      </w:r>
      <w:r w:rsidR="00792819">
        <w:rPr>
          <w:rFonts w:cs="Times New Roman"/>
          <w:lang w:val="fr-FR"/>
        </w:rPr>
        <w:t>place to get some food, before returning to their home. Fan Huang was Fan Ke’s older cousin (</w:t>
      </w:r>
      <w:r w:rsidR="00792819" w:rsidRPr="00792819">
        <w:rPr>
          <w:rFonts w:cs="Times New Roman"/>
          <w:i/>
          <w:lang w:val="fr-FR"/>
        </w:rPr>
        <w:t>simafu xiong</w:t>
      </w:r>
      <w:r w:rsidR="00792819">
        <w:rPr>
          <w:rFonts w:cs="Times New Roman"/>
          <w:lang w:val="fr-FR"/>
        </w:rPr>
        <w:t xml:space="preserve"> </w:t>
      </w:r>
      <w:r w:rsidR="00792819">
        <w:rPr>
          <w:rFonts w:ascii="新細明體" w:eastAsia="新細明體" w:hAnsi="新細明體" w:cs="新細明體" w:hint="eastAsia"/>
          <w:lang w:val="fr-FR" w:eastAsia="zh-TW"/>
        </w:rPr>
        <w:t>緦麻服兄</w:t>
      </w:r>
      <w:r w:rsidR="00792819">
        <w:rPr>
          <w:rFonts w:cs="Times New Roman"/>
          <w:lang w:val="fr-FR"/>
        </w:rPr>
        <w:t>)</w:t>
      </w:r>
      <w:r w:rsidR="00AC4B3B">
        <w:rPr>
          <w:rFonts w:cs="Times New Roman"/>
          <w:lang w:val="fr-FR"/>
        </w:rPr>
        <w:t>, they lived in the same village and had always been in good terms, as the investigation that followed the unfortunate events that took place that night w</w:t>
      </w:r>
      <w:r w:rsidR="00796707">
        <w:rPr>
          <w:rFonts w:cs="Times New Roman"/>
          <w:lang w:val="fr-FR"/>
        </w:rPr>
        <w:t xml:space="preserve">as later to </w:t>
      </w:r>
      <w:r w:rsidR="00AC4B3B">
        <w:rPr>
          <w:rFonts w:cs="Times New Roman"/>
          <w:lang w:val="fr-FR"/>
        </w:rPr>
        <w:t>make clear. As the Fans father and son were about to leave, they saw</w:t>
      </w:r>
      <w:r w:rsidR="00AC4B3B" w:rsidRPr="00AC4B3B">
        <w:rPr>
          <w:rFonts w:cs="Times New Roman"/>
          <w:lang w:val="fr-FR"/>
        </w:rPr>
        <w:t xml:space="preserve"> </w:t>
      </w:r>
      <w:r w:rsidR="00AC4B3B">
        <w:rPr>
          <w:rFonts w:cs="Times New Roman"/>
          <w:lang w:val="fr-FR"/>
        </w:rPr>
        <w:t>Fan Ke’s</w:t>
      </w:r>
      <w:r w:rsidR="00AC4B3B" w:rsidRPr="00AC4B3B">
        <w:rPr>
          <w:rFonts w:cs="Times New Roman"/>
          <w:lang w:val="fr-FR"/>
        </w:rPr>
        <w:t xml:space="preserve"> </w:t>
      </w:r>
      <w:r w:rsidR="00AC4B3B">
        <w:rPr>
          <w:rFonts w:cs="Times New Roman"/>
          <w:lang w:val="fr-FR"/>
        </w:rPr>
        <w:t>ox tied up to a tree, just outside the entrance of the house, and for no explainable reason, decided to steel it. Having noticed the theft, but unable to imagine it could have been committed by his elder cousin, Fan Ke called out to some neighbours and went out at night afte</w:t>
      </w:r>
      <w:r w:rsidR="006A7048">
        <w:rPr>
          <w:rFonts w:cs="Times New Roman"/>
          <w:lang w:val="fr-FR"/>
        </w:rPr>
        <w:t>r the robbers, armed. After havi</w:t>
      </w:r>
      <w:r w:rsidR="00AC4B3B">
        <w:rPr>
          <w:rFonts w:cs="Times New Roman"/>
          <w:lang w:val="fr-FR"/>
        </w:rPr>
        <w:t>ng spotted two individuals pulling an ox, Fan Ke ran after them, yelling at them to identify themselves. Fan Chongyou, afraid, ran away, while Fan Huang stood quietly waiting</w:t>
      </w:r>
      <w:r w:rsidR="006A7048">
        <w:rPr>
          <w:rFonts w:cs="Times New Roman"/>
          <w:lang w:val="fr-FR"/>
        </w:rPr>
        <w:t xml:space="preserve"> in the dark, with a knife in his hand</w:t>
      </w:r>
      <w:r w:rsidR="00AC4B3B">
        <w:rPr>
          <w:rFonts w:cs="Times New Roman"/>
          <w:lang w:val="fr-FR"/>
        </w:rPr>
        <w:t xml:space="preserve">. </w:t>
      </w:r>
      <w:r w:rsidR="006A7048">
        <w:rPr>
          <w:rFonts w:cs="Times New Roman"/>
          <w:lang w:val="fr-FR"/>
        </w:rPr>
        <w:t>In the affray that followed, Fan Huang remained dead, at which point Fan Ke realized who it was he had just killed. The highest authorities of the (unamed) province where the facts took place decided, after a thorough investigation, to lift all charges against him. To do so, they resorted to statute 388 (Qing code), entitled “Criminals resisting arrest” (</w:t>
      </w:r>
      <w:r w:rsidR="006A7048" w:rsidRPr="006A7048">
        <w:rPr>
          <w:rFonts w:cs="Times New Roman"/>
          <w:i/>
          <w:lang w:val="fr-FR"/>
        </w:rPr>
        <w:t>Zuiren jubu</w:t>
      </w:r>
      <w:r w:rsidR="006A7048">
        <w:rPr>
          <w:rFonts w:cs="Times New Roman"/>
          <w:lang w:val="fr-FR"/>
        </w:rPr>
        <w:t xml:space="preserve"> </w:t>
      </w:r>
      <w:r w:rsidR="006A7048">
        <w:rPr>
          <w:rFonts w:ascii="新細明體" w:eastAsia="新細明體" w:hAnsi="新細明體" w:cs="新細明體" w:hint="eastAsia"/>
          <w:lang w:val="fr-FR" w:eastAsia="zh-TW"/>
        </w:rPr>
        <w:t>罪人拒捕</w:t>
      </w:r>
      <w:r w:rsidR="006A7048">
        <w:rPr>
          <w:rFonts w:cs="Times New Roman"/>
          <w:lang w:val="fr-FR"/>
        </w:rPr>
        <w:t>), which provided that in case a criminal holding an weapon was killed while resisting arrest, no charges would be brought against the perpetrator</w:t>
      </w:r>
      <w:r w:rsidR="002878C2">
        <w:rPr>
          <w:rFonts w:cs="Times New Roman"/>
          <w:lang w:val="fr-FR"/>
        </w:rPr>
        <w:t xml:space="preserve"> (</w:t>
      </w:r>
      <w:r w:rsidR="002878C2" w:rsidRPr="002878C2">
        <w:rPr>
          <w:rFonts w:cs="Times New Roman"/>
          <w:i/>
          <w:lang w:val="fr-FR"/>
        </w:rPr>
        <w:t>zuiren chizhang jubu qi buzhe gesha wulun</w:t>
      </w:r>
      <w:r w:rsidR="002878C2">
        <w:rPr>
          <w:rFonts w:cs="Times New Roman"/>
          <w:lang w:val="fr-FR"/>
        </w:rPr>
        <w:t xml:space="preserve"> </w:t>
      </w:r>
      <w:r w:rsidR="002878C2">
        <w:rPr>
          <w:rFonts w:ascii="新細明體" w:eastAsia="新細明體" w:hAnsi="新細明體" w:cs="新細明體" w:hint="eastAsia"/>
          <w:lang w:val="fr-FR" w:eastAsia="zh-TW"/>
        </w:rPr>
        <w:t>罪人 持仗 拒捕其捕者格殺勿論</w:t>
      </w:r>
      <w:r w:rsidR="002878C2">
        <w:rPr>
          <w:rFonts w:cs="Times New Roman"/>
          <w:lang w:val="fr-FR"/>
        </w:rPr>
        <w:t>)</w:t>
      </w:r>
      <w:r w:rsidR="006A7048">
        <w:rPr>
          <w:rFonts w:cs="Times New Roman"/>
          <w:lang w:val="fr-FR"/>
        </w:rPr>
        <w:t xml:space="preserve">. </w:t>
      </w:r>
      <w:r w:rsidR="002878C2">
        <w:rPr>
          <w:rFonts w:cs="Times New Roman"/>
          <w:lang w:val="fr-FR"/>
        </w:rPr>
        <w:t xml:space="preserve">To provide for the kinship relation involved, the Board of Punishment added a note about the notion of </w:t>
      </w:r>
      <w:r w:rsidR="002878C2" w:rsidRPr="002878C2">
        <w:rPr>
          <w:rFonts w:cs="Times New Roman"/>
          <w:i/>
          <w:lang w:val="fr-FR"/>
        </w:rPr>
        <w:t>fanshi bu zhi</w:t>
      </w:r>
      <w:r w:rsidR="002878C2">
        <w:rPr>
          <w:rFonts w:cs="Times New Roman"/>
          <w:lang w:val="fr-FR"/>
        </w:rPr>
        <w:t>, clearing Fan Ke of the increased penal liability th</w:t>
      </w:r>
      <w:r w:rsidR="00796707">
        <w:rPr>
          <w:rFonts w:cs="Times New Roman"/>
          <w:lang w:val="fr-FR"/>
        </w:rPr>
        <w:t xml:space="preserve">e senior-junior kin dimension </w:t>
      </w:r>
      <w:r w:rsidR="002878C2">
        <w:rPr>
          <w:rFonts w:cs="Times New Roman"/>
          <w:lang w:val="fr-FR"/>
        </w:rPr>
        <w:t>automatically added to such circumstances.</w:t>
      </w:r>
    </w:p>
    <w:p w14:paraId="134E8C1F" w14:textId="0B072B94" w:rsidR="00796707" w:rsidRDefault="00796707" w:rsidP="001C6EAC">
      <w:pPr>
        <w:ind w:firstLine="284"/>
        <w:jc w:val="both"/>
        <w:rPr>
          <w:rFonts w:cs="Times New Roman"/>
          <w:lang w:val="fr-FR"/>
        </w:rPr>
      </w:pPr>
      <w:r>
        <w:rPr>
          <w:rFonts w:cs="Times New Roman"/>
          <w:lang w:val="fr-FR"/>
        </w:rPr>
        <w:t>Fan Ke’s case is interesting for, as the first in our sample, it tends to show that the family relationship involved could be set aside by the judicial apparatus in the early Qing period, when clear evidence pointed to serious mitigating factors.</w:t>
      </w:r>
      <w:r w:rsidR="00BE5261">
        <w:rPr>
          <w:rFonts w:cs="Times New Roman"/>
          <w:lang w:val="fr-FR"/>
        </w:rPr>
        <w:t xml:space="preserve"> This echoes with similar positions adopted at the time by provincial administrators as well as by the central judicial authorities in Beijing, in other affairs involving kinship bonds</w:t>
      </w:r>
      <w:r w:rsidR="00BE5261">
        <w:rPr>
          <w:rStyle w:val="Marquenotebasdepage"/>
          <w:rFonts w:cs="Times New Roman"/>
          <w:lang w:val="fr-FR"/>
        </w:rPr>
        <w:footnoteReference w:id="57"/>
      </w:r>
      <w:r w:rsidR="00BE5261">
        <w:rPr>
          <w:rFonts w:cs="Times New Roman"/>
          <w:lang w:val="fr-FR"/>
        </w:rPr>
        <w:t xml:space="preserve">. As in these other instances, though, </w:t>
      </w:r>
      <w:r w:rsidR="005C49BF">
        <w:rPr>
          <w:rFonts w:cs="Times New Roman"/>
          <w:lang w:val="fr-FR"/>
        </w:rPr>
        <w:t xml:space="preserve">here too, </w:t>
      </w:r>
      <w:r w:rsidR="00BE5261">
        <w:rPr>
          <w:rFonts w:cs="Times New Roman"/>
          <w:lang w:val="fr-FR"/>
        </w:rPr>
        <w:t>time seems to have brought about a tightening of the penal approach to crimes comm</w:t>
      </w:r>
      <w:r w:rsidR="005C49BF">
        <w:rPr>
          <w:rFonts w:cs="Times New Roman"/>
          <w:lang w:val="fr-FR"/>
        </w:rPr>
        <w:t>itted inside the family sphere.</w:t>
      </w:r>
    </w:p>
    <w:p w14:paraId="79F67E40" w14:textId="314AF8CF" w:rsidR="005C49BF" w:rsidRDefault="005C49BF" w:rsidP="001C6EAC">
      <w:pPr>
        <w:ind w:firstLine="284"/>
        <w:jc w:val="both"/>
        <w:rPr>
          <w:rFonts w:eastAsia="新細明體" w:cs="Times New Roman"/>
          <w:lang w:val="fr-FR" w:eastAsia="zh-TW"/>
        </w:rPr>
      </w:pPr>
      <w:r>
        <w:rPr>
          <w:rFonts w:eastAsia="新細明體" w:cs="Times New Roman"/>
          <w:lang w:val="fr-FR" w:eastAsia="zh-TW"/>
        </w:rPr>
        <w:t xml:space="preserve">A case dating back to 1739, in which a certain Li Wenkui </w:t>
      </w:r>
      <w:r>
        <w:rPr>
          <w:rFonts w:ascii="新細明體" w:eastAsia="新細明體" w:hAnsi="新細明體" w:cs="新細明體" w:hint="eastAsia"/>
          <w:lang w:val="fr-FR" w:eastAsia="zh-TW"/>
        </w:rPr>
        <w:t>李文魁</w:t>
      </w:r>
      <w:r>
        <w:rPr>
          <w:rFonts w:eastAsia="新細明體" w:cs="Times New Roman"/>
          <w:lang w:val="fr-FR" w:eastAsia="zh-TW"/>
        </w:rPr>
        <w:t xml:space="preserve"> killed his elder brother Li Wenzheng </w:t>
      </w:r>
      <w:r>
        <w:rPr>
          <w:rFonts w:ascii="新細明體" w:eastAsia="新細明體" w:hAnsi="新細明體" w:cs="新細明體" w:hint="eastAsia"/>
          <w:lang w:val="fr-FR" w:eastAsia="zh-TW"/>
        </w:rPr>
        <w:t>李文正</w:t>
      </w:r>
      <w:r>
        <w:rPr>
          <w:rFonts w:eastAsia="新細明體" w:cs="Times New Roman"/>
          <w:lang w:val="fr-FR" w:eastAsia="zh-TW"/>
        </w:rPr>
        <w:t xml:space="preserve">, may serve as a first example. </w:t>
      </w:r>
      <w:r w:rsidR="00F246F6">
        <w:rPr>
          <w:rFonts w:eastAsia="新細明體" w:cs="Times New Roman"/>
          <w:lang w:val="fr-FR" w:eastAsia="zh-TW"/>
        </w:rPr>
        <w:t xml:space="preserve">The details of the affair are not central: partly drunk, the two got into a brawl, Li Wenzheng hitting the younger Li Wenkui who resisted the temptation to respond until he couldn’t take it anymore, finally resulting in the death of the elder. For this deed, which involved as central a relation as the one we saw at play in the introduction when discussing Deng Tingmei’s crime, Li Wenkui was first sentenced to immediate decapitation, according to the statute on younger brothers killing the elders. But what the investigation revealed was that Li Wenkui had never known he and Li Wenzheng were uterine brothers: their mother having died when Li Wenkui was still very young, he had been adopted into another line of the Li family, a fact no one had ever mentioned in front of him. Based on this finding, the governor of Zhili, Sun Jiagan </w:t>
      </w:r>
      <w:r w:rsidR="00F246F6">
        <w:rPr>
          <w:rFonts w:ascii="新細明體" w:eastAsia="新細明體" w:hAnsi="新細明體" w:cs="新細明體" w:hint="eastAsia"/>
          <w:lang w:val="fr-FR" w:eastAsia="zh-TW"/>
        </w:rPr>
        <w:t>孫嘉淦</w:t>
      </w:r>
      <w:r w:rsidR="00AF32C2">
        <w:rPr>
          <w:rFonts w:eastAsia="新細明體" w:cs="Times New Roman"/>
          <w:lang w:val="fr-FR" w:eastAsia="zh-TW"/>
        </w:rPr>
        <w:t xml:space="preserve"> (1683-1753), proposed to mitigate the sentence by resorting to the notion of </w:t>
      </w:r>
      <w:r w:rsidR="00AF32C2" w:rsidRPr="00AF32C2">
        <w:rPr>
          <w:rFonts w:eastAsia="新細明體" w:cs="Times New Roman"/>
          <w:i/>
          <w:lang w:val="fr-FR" w:eastAsia="zh-TW"/>
        </w:rPr>
        <w:t>fanshi bu zhi</w:t>
      </w:r>
      <w:r w:rsidR="00AF32C2">
        <w:rPr>
          <w:rFonts w:eastAsia="新細明體" w:cs="Times New Roman"/>
          <w:lang w:val="fr-FR" w:eastAsia="zh-TW"/>
        </w:rPr>
        <w:t>. The proposal, accepted by the Board of Punishments, should have led to Li Wenkui being sentenced to strangulation after the Assises, according to the statute on homicides resulting from brawls. But considering the kin relationship involved, neither governor Sun, nor the Board’s administrators could consider such a solution as acceptable. Li was thus condemned to decapitation after the Assises, and, as a bannerman, sent to the jails of the Board to wait for the revision procedure of the next fall</w:t>
      </w:r>
      <w:r w:rsidR="00AF32C2">
        <w:rPr>
          <w:rStyle w:val="Marquenotebasdepage"/>
          <w:rFonts w:eastAsia="新細明體" w:cs="Times New Roman"/>
          <w:lang w:val="fr-FR" w:eastAsia="zh-TW"/>
        </w:rPr>
        <w:footnoteReference w:id="58"/>
      </w:r>
      <w:r w:rsidR="00AF32C2">
        <w:rPr>
          <w:rFonts w:eastAsia="新細明體" w:cs="Times New Roman"/>
          <w:lang w:val="fr-FR" w:eastAsia="zh-TW"/>
        </w:rPr>
        <w:t>.</w:t>
      </w:r>
    </w:p>
    <w:p w14:paraId="2E26FF2E" w14:textId="58E20C7E" w:rsidR="00AF32C2" w:rsidRDefault="00AF32C2" w:rsidP="001C6EAC">
      <w:pPr>
        <w:ind w:firstLine="284"/>
        <w:jc w:val="both"/>
        <w:rPr>
          <w:rFonts w:eastAsia="新細明體" w:cs="Times New Roman"/>
          <w:lang w:val="fr-FR" w:eastAsia="zh-TW"/>
        </w:rPr>
      </w:pPr>
      <w:r>
        <w:rPr>
          <w:rFonts w:eastAsia="新細明體" w:cs="Times New Roman"/>
          <w:lang w:val="fr-FR" w:eastAsia="zh-TW"/>
        </w:rPr>
        <w:t xml:space="preserve">This case is revealing, for it shows the force of kinship in the face of the law: even though he had never known about his family bond to Li Wenzheng, and even though the judicial administration was ready to acknowledge this fact by resorting to the provisions </w:t>
      </w:r>
      <w:r w:rsidR="00DD6BC7">
        <w:rPr>
          <w:rFonts w:eastAsia="新細明體" w:cs="Times New Roman"/>
          <w:lang w:val="fr-FR" w:eastAsia="zh-TW"/>
        </w:rPr>
        <w:t xml:space="preserve">on “unawareness” as expounded in </w:t>
      </w:r>
      <w:r>
        <w:rPr>
          <w:rFonts w:eastAsia="新細明體" w:cs="Times New Roman"/>
          <w:lang w:val="fr-FR" w:eastAsia="zh-TW"/>
        </w:rPr>
        <w:t>statute 35</w:t>
      </w:r>
      <w:r w:rsidR="00DD6BC7">
        <w:rPr>
          <w:rFonts w:eastAsia="新細明體" w:cs="Times New Roman"/>
          <w:lang w:val="fr-FR" w:eastAsia="zh-TW"/>
        </w:rPr>
        <w:t xml:space="preserve">, it was unthinkable for its members to treat Li Wenkui in the way the statute actually provided for, that is, as a man whom no direct family bond linked to his victim. Among our cases, this precise one is also somewhat peculiar, because of the nature of the bond affected. Its “severity” was not exactly typical of the way similar affairs were taken into consideration at the time, and up to the first decades of the nineteenth century. </w:t>
      </w:r>
      <w:r w:rsidR="00280819">
        <w:rPr>
          <w:rFonts w:eastAsia="新細明體" w:cs="Times New Roman"/>
          <w:lang w:val="fr-FR" w:eastAsia="zh-TW"/>
        </w:rPr>
        <w:t xml:space="preserve">In 1754 and 1764, in two cases where a junior killed a senior (in the first instance a paternal uncle and in the second an elder cousin), both in similar contexts – at night time, while the defendant was watching the crops in the fields, the senior came to steal and was killed in the fight that ensued –, the two defendants, on the basis of their “unawareness”, were sentenced to strangulation after the </w:t>
      </w:r>
      <w:r w:rsidR="00C360DD">
        <w:rPr>
          <w:rFonts w:eastAsia="新細明體" w:cs="Times New Roman"/>
          <w:lang w:val="fr-FR" w:eastAsia="zh-TW"/>
        </w:rPr>
        <w:t xml:space="preserve">Assises, in accordance with the same statute 388 mentioned above, which provided that in case a criminal was killed while </w:t>
      </w:r>
      <w:r w:rsidR="00C360DD" w:rsidRPr="00C360DD">
        <w:rPr>
          <w:rFonts w:eastAsia="新細明體" w:cs="Times New Roman"/>
          <w:i/>
          <w:lang w:val="fr-FR" w:eastAsia="zh-TW"/>
        </w:rPr>
        <w:t>not</w:t>
      </w:r>
      <w:r w:rsidR="00C360DD">
        <w:rPr>
          <w:rFonts w:eastAsia="新細明體" w:cs="Times New Roman"/>
          <w:lang w:val="fr-FR" w:eastAsia="zh-TW"/>
        </w:rPr>
        <w:t xml:space="preserve"> resisting his arrest, the perpetrator was to be convicted following the provisions for homicides resulting from a brawl (</w:t>
      </w:r>
      <w:r w:rsidR="00C360DD" w:rsidRPr="00C360DD">
        <w:rPr>
          <w:rFonts w:eastAsia="新細明體" w:cs="Times New Roman"/>
          <w:i/>
          <w:lang w:val="fr-FR" w:eastAsia="zh-TW"/>
        </w:rPr>
        <w:t>dousha</w:t>
      </w:r>
      <w:r w:rsidR="00C360DD">
        <w:rPr>
          <w:rFonts w:eastAsia="新細明體" w:cs="Times New Roman"/>
          <w:lang w:val="fr-FR" w:eastAsia="zh-TW"/>
        </w:rPr>
        <w:t xml:space="preserve"> </w:t>
      </w:r>
      <w:r w:rsidR="00C360DD">
        <w:rPr>
          <w:rFonts w:ascii="新細明體" w:eastAsia="新細明體" w:hAnsi="新細明體" w:cs="新細明體" w:hint="eastAsia"/>
          <w:lang w:val="fr-FR" w:eastAsia="zh-TW"/>
        </w:rPr>
        <w:t>鬥殺</w:t>
      </w:r>
      <w:r w:rsidR="00C360DD">
        <w:rPr>
          <w:rFonts w:eastAsia="新細明體" w:cs="Times New Roman"/>
          <w:lang w:val="fr-FR" w:eastAsia="zh-TW"/>
        </w:rPr>
        <w:t>)</w:t>
      </w:r>
      <w:r w:rsidR="00C360DD">
        <w:rPr>
          <w:rStyle w:val="Marquenotebasdepage"/>
          <w:rFonts w:eastAsia="新細明體" w:cs="Times New Roman"/>
          <w:lang w:val="fr-FR" w:eastAsia="zh-TW"/>
        </w:rPr>
        <w:footnoteReference w:id="59"/>
      </w:r>
      <w:r w:rsidR="00C360DD">
        <w:rPr>
          <w:rFonts w:eastAsia="新細明體" w:cs="Times New Roman"/>
          <w:lang w:val="fr-FR" w:eastAsia="zh-TW"/>
        </w:rPr>
        <w:t>.</w:t>
      </w:r>
    </w:p>
    <w:p w14:paraId="25E514B6" w14:textId="77777777" w:rsidR="00C67D75" w:rsidRDefault="00742C49" w:rsidP="001C6EAC">
      <w:pPr>
        <w:ind w:firstLine="284"/>
        <w:jc w:val="both"/>
        <w:rPr>
          <w:rFonts w:eastAsia="新細明體" w:cs="Times New Roman"/>
          <w:lang w:val="fr-FR" w:eastAsia="zh-TW"/>
        </w:rPr>
      </w:pPr>
      <w:r>
        <w:rPr>
          <w:rFonts w:eastAsia="新細明體" w:cs="Times New Roman"/>
          <w:lang w:val="fr-FR" w:eastAsia="zh-TW"/>
        </w:rPr>
        <w:t xml:space="preserve">A series of such cases compiled by Wang Jinzhi </w:t>
      </w:r>
      <w:r>
        <w:rPr>
          <w:rFonts w:ascii="新細明體" w:eastAsia="新細明體" w:hAnsi="新細明體" w:cs="新細明體" w:hint="eastAsia"/>
          <w:lang w:val="fr-FR" w:eastAsia="zh-TW"/>
        </w:rPr>
        <w:t>汪進之</w:t>
      </w:r>
      <w:r>
        <w:rPr>
          <w:rFonts w:eastAsia="新細明體" w:cs="Times New Roman"/>
          <w:lang w:val="fr-FR" w:eastAsia="zh-TW"/>
        </w:rPr>
        <w:t xml:space="preserve"> in his </w:t>
      </w:r>
      <w:r w:rsidRPr="00742C49">
        <w:rPr>
          <w:rFonts w:eastAsia="新細明體" w:cs="Times New Roman"/>
          <w:i/>
          <w:lang w:val="fr-FR" w:eastAsia="zh-TW"/>
        </w:rPr>
        <w:t>Shuotie bianli xinbian</w:t>
      </w:r>
      <w:r>
        <w:rPr>
          <w:rFonts w:eastAsia="新細明體" w:cs="Times New Roman"/>
          <w:lang w:val="fr-FR" w:eastAsia="zh-TW"/>
        </w:rPr>
        <w:t xml:space="preserve"> </w:t>
      </w:r>
      <w:r>
        <w:rPr>
          <w:rFonts w:ascii="新細明體" w:eastAsia="新細明體" w:hAnsi="新細明體" w:cs="新細明體" w:hint="eastAsia"/>
          <w:lang w:val="fr-FR" w:eastAsia="zh-TW"/>
        </w:rPr>
        <w:t>說帖辨例新編</w:t>
      </w:r>
      <w:r>
        <w:rPr>
          <w:rStyle w:val="Marquenotebasdepage"/>
          <w:rFonts w:ascii="新細明體" w:eastAsia="新細明體" w:hAnsi="新細明體" w:cs="新細明體"/>
          <w:lang w:val="fr-FR" w:eastAsia="zh-TW"/>
        </w:rPr>
        <w:footnoteReference w:id="60"/>
      </w:r>
      <w:r>
        <w:rPr>
          <w:rFonts w:eastAsia="新細明體" w:cs="Times New Roman"/>
          <w:lang w:val="fr-FR" w:eastAsia="zh-TW"/>
        </w:rPr>
        <w:t>, tends to show that up to the first decades of the nineteenth century, the judiciary continued to consider such cases in which generational seniors were discovered, at night, stealing – crops, oxen, or other –</w:t>
      </w:r>
      <w:r w:rsidR="00B051F6">
        <w:rPr>
          <w:rFonts w:eastAsia="新細明體" w:cs="Times New Roman"/>
          <w:lang w:val="fr-FR" w:eastAsia="zh-TW"/>
        </w:rPr>
        <w:t xml:space="preserve"> </w:t>
      </w:r>
      <w:r>
        <w:rPr>
          <w:rFonts w:eastAsia="新細明體" w:cs="Times New Roman"/>
          <w:lang w:val="fr-FR" w:eastAsia="zh-TW"/>
        </w:rPr>
        <w:t xml:space="preserve">and killed by </w:t>
      </w:r>
      <w:r w:rsidR="00B051F6">
        <w:rPr>
          <w:rFonts w:eastAsia="新細明體" w:cs="Times New Roman"/>
          <w:lang w:val="fr-FR" w:eastAsia="zh-TW"/>
        </w:rPr>
        <w:t xml:space="preserve">a junior </w:t>
      </w:r>
      <w:r>
        <w:rPr>
          <w:rFonts w:eastAsia="新細明體" w:cs="Times New Roman"/>
          <w:lang w:val="fr-FR" w:eastAsia="zh-TW"/>
        </w:rPr>
        <w:t xml:space="preserve">while trying to escape, </w:t>
      </w:r>
      <w:r w:rsidR="0023715B">
        <w:rPr>
          <w:rFonts w:eastAsia="新細明體" w:cs="Times New Roman"/>
          <w:lang w:val="fr-FR" w:eastAsia="zh-TW"/>
        </w:rPr>
        <w:t>worthy of a form of clemency with regard to the kinship relation involved: the perpetrators were either condemned to strangulation after the Assises, or, more lenient yet, spared the death penalty all together and sentenced to penal servitude (</w:t>
      </w:r>
      <w:r w:rsidR="0023715B" w:rsidRPr="0023715B">
        <w:rPr>
          <w:rFonts w:eastAsia="新細明體" w:cs="Times New Roman"/>
          <w:i/>
          <w:lang w:val="fr-FR" w:eastAsia="zh-TW"/>
        </w:rPr>
        <w:t>tu</w:t>
      </w:r>
      <w:r w:rsidR="0023715B">
        <w:rPr>
          <w:rFonts w:eastAsia="新細明體" w:cs="Times New Roman"/>
          <w:lang w:val="fr-FR" w:eastAsia="zh-TW"/>
        </w:rPr>
        <w:t xml:space="preserve"> </w:t>
      </w:r>
      <w:r w:rsidR="0023715B">
        <w:rPr>
          <w:rFonts w:ascii="新細明體" w:eastAsia="新細明體" w:hAnsi="新細明體" w:cs="新細明體" w:hint="eastAsia"/>
          <w:lang w:val="fr-FR" w:eastAsia="zh-TW"/>
        </w:rPr>
        <w:t>徒</w:t>
      </w:r>
      <w:r w:rsidR="0023715B">
        <w:rPr>
          <w:rFonts w:eastAsia="新細明體" w:cs="Times New Roman"/>
          <w:lang w:val="fr-FR" w:eastAsia="zh-TW"/>
        </w:rPr>
        <w:t xml:space="preserve">), generally for a period of three years. </w:t>
      </w:r>
      <w:r w:rsidR="00B051F6">
        <w:rPr>
          <w:rFonts w:eastAsia="新細明體" w:cs="Times New Roman"/>
          <w:lang w:val="fr-FR" w:eastAsia="zh-TW"/>
        </w:rPr>
        <w:t>This position officially revised in 1819, the last year of the Jiaqing emperor’s reign. That year, a similar case reported from Jiangxi province prompted a thorough revision of such affairs in the wake of the compilation of new substatutes (</w:t>
      </w:r>
      <w:r w:rsidR="00B051F6" w:rsidRPr="00B051F6">
        <w:rPr>
          <w:rFonts w:eastAsia="新細明體" w:cs="Times New Roman"/>
          <w:i/>
          <w:lang w:val="fr-FR" w:eastAsia="zh-TW"/>
        </w:rPr>
        <w:t>zuanxiu li shi</w:t>
      </w:r>
      <w:r w:rsidR="00B051F6">
        <w:rPr>
          <w:rFonts w:eastAsia="新細明體" w:cs="Times New Roman"/>
          <w:lang w:val="fr-FR" w:eastAsia="zh-TW"/>
        </w:rPr>
        <w:t xml:space="preserve"> </w:t>
      </w:r>
      <w:r w:rsidR="00B051F6">
        <w:rPr>
          <w:rFonts w:ascii="新細明體" w:eastAsia="新細明體" w:hAnsi="新細明體" w:cs="新細明體" w:hint="eastAsia"/>
          <w:lang w:val="fr-FR" w:eastAsia="zh-TW"/>
        </w:rPr>
        <w:t>纂修例時</w:t>
      </w:r>
      <w:r w:rsidR="00B051F6">
        <w:rPr>
          <w:rFonts w:eastAsia="新細明體" w:cs="Times New Roman"/>
          <w:lang w:val="fr-FR" w:eastAsia="zh-TW"/>
        </w:rPr>
        <w:t xml:space="preserve">) at the Board, work which led to </w:t>
      </w:r>
      <w:r w:rsidR="008D0131">
        <w:rPr>
          <w:rFonts w:eastAsia="新細明體" w:cs="Times New Roman"/>
          <w:lang w:val="fr-FR" w:eastAsia="zh-TW"/>
        </w:rPr>
        <w:t>the adoption of a uniform mode of treatment. This provided that from then on, affairs of the sort where a theft was suspected, leading to a homicide (</w:t>
      </w:r>
      <w:r w:rsidR="008D0131" w:rsidRPr="008D0131">
        <w:rPr>
          <w:rFonts w:eastAsia="新細明體" w:cs="Times New Roman"/>
          <w:i/>
          <w:lang w:val="fr-FR" w:eastAsia="zh-TW"/>
        </w:rPr>
        <w:t>yi zei zhi bi</w:t>
      </w:r>
      <w:r w:rsidR="008D0131">
        <w:rPr>
          <w:rFonts w:eastAsia="新細明體" w:cs="Times New Roman"/>
          <w:lang w:val="fr-FR" w:eastAsia="zh-TW"/>
        </w:rPr>
        <w:t xml:space="preserve"> </w:t>
      </w:r>
      <w:r w:rsidR="008D0131">
        <w:rPr>
          <w:rFonts w:ascii="新細明體" w:eastAsia="新細明體" w:hAnsi="新細明體" w:cs="新細明體" w:hint="eastAsia"/>
          <w:lang w:val="fr-FR" w:eastAsia="zh-TW"/>
        </w:rPr>
        <w:t>疑賊致斃</w:t>
      </w:r>
      <w:r w:rsidR="008D0131">
        <w:rPr>
          <w:rFonts w:eastAsia="新細明體" w:cs="Times New Roman"/>
          <w:lang w:val="fr-FR" w:eastAsia="zh-TW"/>
        </w:rPr>
        <w:t xml:space="preserve">), if they involved ordinary individuals, they would be dealt with through the statute on homicides resulting from brawls, but if family relations were involved, the sentence was to </w:t>
      </w:r>
      <w:r w:rsidR="00F42741">
        <w:rPr>
          <w:rFonts w:eastAsia="新細明體" w:cs="Times New Roman"/>
          <w:lang w:val="fr-FR" w:eastAsia="zh-TW"/>
        </w:rPr>
        <w:t>be drafted in accordance with them</w:t>
      </w:r>
      <w:r w:rsidR="008D0131">
        <w:rPr>
          <w:rFonts w:eastAsia="新細明體" w:cs="Times New Roman"/>
          <w:lang w:val="fr-FR" w:eastAsia="zh-TW"/>
        </w:rPr>
        <w:t xml:space="preserve"> (</w:t>
      </w:r>
      <w:r w:rsidR="008D0131" w:rsidRPr="008D0131">
        <w:rPr>
          <w:rFonts w:eastAsia="新細明體" w:cs="Times New Roman"/>
          <w:i/>
          <w:lang w:val="fr-FR" w:eastAsia="zh-TW"/>
        </w:rPr>
        <w:t>dang an fuzhi keduan</w:t>
      </w:r>
      <w:r w:rsidR="008D0131">
        <w:rPr>
          <w:rFonts w:eastAsia="新細明體" w:cs="Times New Roman"/>
          <w:lang w:val="fr-FR" w:eastAsia="zh-TW"/>
        </w:rPr>
        <w:t xml:space="preserve"> </w:t>
      </w:r>
      <w:r w:rsidR="008D0131">
        <w:rPr>
          <w:rFonts w:ascii="新細明體" w:eastAsia="新細明體" w:hAnsi="新細明體" w:cs="新細明體" w:hint="eastAsia"/>
          <w:lang w:val="fr-FR" w:eastAsia="zh-TW"/>
        </w:rPr>
        <w:t>當按服制科斷</w:t>
      </w:r>
      <w:r w:rsidR="008D0131">
        <w:rPr>
          <w:rFonts w:eastAsia="新細明體" w:cs="Times New Roman"/>
          <w:lang w:val="fr-FR" w:eastAsia="zh-TW"/>
        </w:rPr>
        <w:t>)</w:t>
      </w:r>
      <w:r w:rsidR="008D0131">
        <w:rPr>
          <w:rStyle w:val="Marquenotebasdepage"/>
          <w:rFonts w:eastAsia="新細明體" w:cs="Times New Roman"/>
          <w:lang w:val="fr-FR" w:eastAsia="zh-TW"/>
        </w:rPr>
        <w:footnoteReference w:id="61"/>
      </w:r>
      <w:r w:rsidR="008D0131">
        <w:rPr>
          <w:rFonts w:eastAsia="新細明體" w:cs="Times New Roman"/>
          <w:lang w:val="fr-FR" w:eastAsia="zh-TW"/>
        </w:rPr>
        <w:t>.</w:t>
      </w:r>
      <w:r w:rsidR="00F42741">
        <w:rPr>
          <w:rFonts w:eastAsia="新細明體" w:cs="Times New Roman"/>
          <w:lang w:val="fr-FR" w:eastAsia="zh-TW"/>
        </w:rPr>
        <w:t xml:space="preserve"> As far as the judicial practice was concerned, this lead juniors convicted in such instances to being condemned to immediate beheading. The possible mitigating circumstances could thereafter be added as a note at the end of the memorial proposing the sentence</w:t>
      </w:r>
      <w:r w:rsidR="004144D4">
        <w:rPr>
          <w:rFonts w:eastAsia="新細明體" w:cs="Times New Roman"/>
          <w:lang w:val="fr-FR" w:eastAsia="zh-TW"/>
        </w:rPr>
        <w:t>, in order for t</w:t>
      </w:r>
      <w:r w:rsidR="00F42741">
        <w:rPr>
          <w:rFonts w:eastAsia="新細明體" w:cs="Times New Roman"/>
          <w:lang w:val="fr-FR" w:eastAsia="zh-TW"/>
        </w:rPr>
        <w:t>he Board</w:t>
      </w:r>
      <w:r w:rsidR="004144D4">
        <w:rPr>
          <w:rFonts w:eastAsia="新細明體" w:cs="Times New Roman"/>
          <w:lang w:val="fr-FR" w:eastAsia="zh-TW"/>
        </w:rPr>
        <w:t xml:space="preserve"> to review them in view of possibly applying some leniency. The recourse to the notion of </w:t>
      </w:r>
      <w:r w:rsidR="004144D4" w:rsidRPr="004144D4">
        <w:rPr>
          <w:rFonts w:eastAsia="新細明體" w:cs="Times New Roman"/>
          <w:i/>
          <w:lang w:val="fr-FR" w:eastAsia="zh-TW"/>
        </w:rPr>
        <w:t>fanshi bu zhi</w:t>
      </w:r>
      <w:r w:rsidR="004144D4">
        <w:rPr>
          <w:rFonts w:eastAsia="新細明體" w:cs="Times New Roman"/>
          <w:lang w:val="fr-FR" w:eastAsia="zh-TW"/>
        </w:rPr>
        <w:t xml:space="preserve"> was moreover strictly limited to such circumstances described as leading to “rightful outrage” (</w:t>
      </w:r>
      <w:r w:rsidR="004144D4" w:rsidRPr="004144D4">
        <w:rPr>
          <w:rFonts w:eastAsia="新細明體" w:cs="Times New Roman"/>
          <w:i/>
          <w:lang w:val="fr-FR" w:eastAsia="zh-TW"/>
        </w:rPr>
        <w:t>yifen</w:t>
      </w:r>
      <w:r w:rsidR="004144D4">
        <w:rPr>
          <w:rFonts w:eastAsia="新細明體" w:cs="Times New Roman"/>
          <w:lang w:val="fr-FR" w:eastAsia="zh-TW"/>
        </w:rPr>
        <w:t xml:space="preserve"> </w:t>
      </w:r>
      <w:r w:rsidR="004144D4">
        <w:rPr>
          <w:rFonts w:ascii="新細明體" w:eastAsia="新細明體" w:hAnsi="新細明體" w:cs="新細明體" w:hint="eastAsia"/>
          <w:lang w:val="fr-FR" w:eastAsia="zh-TW"/>
        </w:rPr>
        <w:t>義忿</w:t>
      </w:r>
      <w:r w:rsidR="004144D4">
        <w:rPr>
          <w:rFonts w:eastAsia="新細明體" w:cs="Times New Roman"/>
          <w:lang w:val="fr-FR" w:eastAsia="zh-TW"/>
        </w:rPr>
        <w:t>) from the part of the junior party</w:t>
      </w:r>
      <w:r w:rsidR="006A0B14">
        <w:rPr>
          <w:rFonts w:eastAsia="新細明體" w:cs="Times New Roman"/>
          <w:lang w:val="fr-FR" w:eastAsia="zh-TW"/>
        </w:rPr>
        <w:t xml:space="preserve">. The example provided is that of a junior </w:t>
      </w:r>
      <w:r w:rsidR="00C67D75">
        <w:rPr>
          <w:rFonts w:eastAsia="新細明體" w:cs="Times New Roman"/>
          <w:lang w:val="fr-FR" w:eastAsia="zh-TW"/>
        </w:rPr>
        <w:t xml:space="preserve">subjected to </w:t>
      </w:r>
      <w:r w:rsidR="006A0B14">
        <w:rPr>
          <w:rFonts w:eastAsia="新細明體" w:cs="Times New Roman"/>
          <w:lang w:val="fr-FR" w:eastAsia="zh-TW"/>
        </w:rPr>
        <w:t>a rape by a senior, resulting in the former killing the latter</w:t>
      </w:r>
      <w:r w:rsidR="004144D4">
        <w:rPr>
          <w:rStyle w:val="Marquenotebasdepage"/>
          <w:rFonts w:eastAsia="新細明體" w:cs="Times New Roman"/>
          <w:lang w:val="fr-FR" w:eastAsia="zh-TW"/>
        </w:rPr>
        <w:footnoteReference w:id="62"/>
      </w:r>
      <w:r w:rsidR="004144D4">
        <w:rPr>
          <w:rFonts w:eastAsia="新細明體" w:cs="Times New Roman"/>
          <w:lang w:val="fr-FR" w:eastAsia="zh-TW"/>
        </w:rPr>
        <w:t>.</w:t>
      </w:r>
      <w:r w:rsidR="006A0B14">
        <w:rPr>
          <w:rFonts w:eastAsia="新細明體" w:cs="Times New Roman"/>
          <w:lang w:val="fr-FR" w:eastAsia="zh-TW"/>
        </w:rPr>
        <w:t xml:space="preserve"> </w:t>
      </w:r>
    </w:p>
    <w:p w14:paraId="76851D72" w14:textId="07082A18" w:rsidR="004144D4" w:rsidRDefault="00C67D75" w:rsidP="001C6EAC">
      <w:pPr>
        <w:ind w:firstLine="284"/>
        <w:jc w:val="both"/>
        <w:rPr>
          <w:rFonts w:eastAsia="新細明體" w:cs="Times New Roman"/>
          <w:lang w:val="fr-FR" w:eastAsia="zh-TW"/>
        </w:rPr>
      </w:pPr>
      <w:r>
        <w:rPr>
          <w:rFonts w:eastAsia="新細明體" w:cs="Times New Roman"/>
          <w:lang w:val="fr-FR" w:eastAsia="zh-TW"/>
        </w:rPr>
        <w:t>As l</w:t>
      </w:r>
      <w:r w:rsidR="006A0B14">
        <w:rPr>
          <w:rFonts w:eastAsia="新細明體" w:cs="Times New Roman"/>
          <w:lang w:val="fr-FR" w:eastAsia="zh-TW"/>
        </w:rPr>
        <w:t>ater cases tend to show</w:t>
      </w:r>
      <w:r>
        <w:rPr>
          <w:rFonts w:eastAsia="新細明體" w:cs="Times New Roman"/>
          <w:lang w:val="fr-FR" w:eastAsia="zh-TW"/>
        </w:rPr>
        <w:t xml:space="preserve">, the 1819 procedural turn seems to have had a definite impact. Cases of the sort we have analyzed above appear thereafter mainly dealt with through </w:t>
      </w:r>
      <w:r w:rsidR="006A0B14">
        <w:rPr>
          <w:rFonts w:eastAsia="新細明體" w:cs="Times New Roman"/>
          <w:lang w:val="fr-FR" w:eastAsia="zh-TW"/>
        </w:rPr>
        <w:t xml:space="preserve">these new provisions, </w:t>
      </w:r>
      <w:r>
        <w:rPr>
          <w:rFonts w:eastAsia="新細明體" w:cs="Times New Roman"/>
          <w:lang w:val="fr-FR" w:eastAsia="zh-TW"/>
        </w:rPr>
        <w:t xml:space="preserve">and whereas the </w:t>
      </w:r>
      <w:r w:rsidRPr="00C67D75">
        <w:rPr>
          <w:rFonts w:eastAsia="新細明體" w:cs="Times New Roman"/>
          <w:i/>
          <w:lang w:val="fr-FR" w:eastAsia="zh-TW"/>
        </w:rPr>
        <w:t>fanshi bu zhi</w:t>
      </w:r>
      <w:r>
        <w:rPr>
          <w:rFonts w:eastAsia="新細明體" w:cs="Times New Roman"/>
          <w:lang w:val="fr-FR" w:eastAsia="zh-TW"/>
        </w:rPr>
        <w:t xml:space="preserve"> notion does not completely disppear, its mitigating potential, at least in kin related cases, was not acknowledged anymore as it had been in the course of the eighteenth and early nineteenth centuries</w:t>
      </w:r>
      <w:r>
        <w:rPr>
          <w:rStyle w:val="Marquenotebasdepage"/>
          <w:rFonts w:eastAsia="新細明體" w:cs="Times New Roman"/>
          <w:lang w:val="fr-FR" w:eastAsia="zh-TW"/>
        </w:rPr>
        <w:footnoteReference w:id="63"/>
      </w:r>
      <w:r>
        <w:rPr>
          <w:rFonts w:eastAsia="新細明體" w:cs="Times New Roman"/>
          <w:lang w:val="fr-FR" w:eastAsia="zh-TW"/>
        </w:rPr>
        <w:t>.</w:t>
      </w:r>
    </w:p>
    <w:p w14:paraId="3608C3B4" w14:textId="77777777" w:rsidR="008F3270" w:rsidRDefault="008F3270" w:rsidP="001C6EAC">
      <w:pPr>
        <w:jc w:val="both"/>
        <w:rPr>
          <w:rFonts w:eastAsia="新細明體" w:cs="Times New Roman"/>
          <w:lang w:val="fr-FR" w:eastAsia="zh-TW"/>
        </w:rPr>
      </w:pPr>
    </w:p>
    <w:p w14:paraId="265A3984" w14:textId="77777777" w:rsidR="001C6EAC" w:rsidRDefault="001C6EAC" w:rsidP="001C6EAC">
      <w:pPr>
        <w:jc w:val="both"/>
        <w:rPr>
          <w:rFonts w:eastAsia="新細明體" w:cs="Times New Roman"/>
          <w:lang w:val="fr-FR" w:eastAsia="zh-TW"/>
        </w:rPr>
      </w:pPr>
    </w:p>
    <w:p w14:paraId="0948A0B8" w14:textId="39A63C16" w:rsidR="008F3270" w:rsidRPr="001C6EAC" w:rsidRDefault="008F3270" w:rsidP="001C6EAC">
      <w:pPr>
        <w:jc w:val="both"/>
        <w:rPr>
          <w:rFonts w:eastAsia="新細明體" w:cs="Times New Roman"/>
          <w:b/>
          <w:lang w:val="fr-FR" w:eastAsia="zh-TW"/>
        </w:rPr>
      </w:pPr>
      <w:r w:rsidRPr="001C6EAC">
        <w:rPr>
          <w:rFonts w:eastAsia="新細明體" w:cs="Times New Roman"/>
          <w:b/>
          <w:lang w:val="fr-FR" w:eastAsia="zh-TW"/>
        </w:rPr>
        <w:t>Conclusion</w:t>
      </w:r>
    </w:p>
    <w:p w14:paraId="424A5B88" w14:textId="77777777" w:rsidR="008F3270" w:rsidRDefault="008F3270" w:rsidP="001C6EAC">
      <w:pPr>
        <w:jc w:val="both"/>
        <w:rPr>
          <w:rFonts w:eastAsia="新細明體" w:cs="Times New Roman"/>
          <w:lang w:val="fr-FR" w:eastAsia="zh-TW"/>
        </w:rPr>
      </w:pPr>
    </w:p>
    <w:p w14:paraId="3E23E5D6" w14:textId="74079C1F" w:rsidR="00BA0A0C" w:rsidRDefault="008F3270" w:rsidP="001C6EAC">
      <w:pPr>
        <w:ind w:firstLine="284"/>
        <w:jc w:val="both"/>
        <w:rPr>
          <w:rFonts w:eastAsia="新細明體" w:cs="Times New Roman"/>
          <w:lang w:val="fr-FR" w:eastAsia="zh-TW"/>
        </w:rPr>
      </w:pPr>
      <w:r>
        <w:rPr>
          <w:rFonts w:eastAsia="新細明體" w:cs="Times New Roman"/>
          <w:lang w:val="fr-FR" w:eastAsia="zh-TW"/>
        </w:rPr>
        <w:t>I have tried to approach</w:t>
      </w:r>
      <w:r w:rsidR="0010389B">
        <w:rPr>
          <w:rFonts w:eastAsia="新細明體" w:cs="Times New Roman"/>
          <w:lang w:val="fr-FR" w:eastAsia="zh-TW"/>
        </w:rPr>
        <w:t>,</w:t>
      </w:r>
      <w:r>
        <w:rPr>
          <w:rFonts w:eastAsia="新細明體" w:cs="Times New Roman"/>
          <w:lang w:val="fr-FR" w:eastAsia="zh-TW"/>
        </w:rPr>
        <w:t xml:space="preserve"> </w:t>
      </w:r>
      <w:r w:rsidR="0010389B">
        <w:rPr>
          <w:rFonts w:eastAsia="新細明體" w:cs="Times New Roman"/>
          <w:lang w:val="fr-FR" w:eastAsia="zh-TW"/>
        </w:rPr>
        <w:t xml:space="preserve">here, </w:t>
      </w:r>
      <w:r>
        <w:rPr>
          <w:rFonts w:eastAsia="新細明體" w:cs="Times New Roman"/>
          <w:lang w:val="fr-FR" w:eastAsia="zh-TW"/>
        </w:rPr>
        <w:t>the question of criminal intent as it has been developed in China’s traditional legal culture</w:t>
      </w:r>
      <w:r w:rsidR="0010389B">
        <w:rPr>
          <w:rFonts w:eastAsia="新細明體" w:cs="Times New Roman"/>
          <w:lang w:val="fr-FR" w:eastAsia="zh-TW"/>
        </w:rPr>
        <w:t>,</w:t>
      </w:r>
      <w:r>
        <w:rPr>
          <w:rFonts w:eastAsia="新細明體" w:cs="Times New Roman"/>
          <w:lang w:val="fr-FR" w:eastAsia="zh-TW"/>
        </w:rPr>
        <w:t xml:space="preserve"> through the specific notion of </w:t>
      </w:r>
      <w:r w:rsidRPr="008F3270">
        <w:rPr>
          <w:rFonts w:eastAsia="新細明體" w:cs="Times New Roman"/>
          <w:i/>
          <w:lang w:val="fr-FR" w:eastAsia="zh-TW"/>
        </w:rPr>
        <w:t>fanshi bu zhi</w:t>
      </w:r>
      <w:r w:rsidR="00BA0A0C">
        <w:rPr>
          <w:rFonts w:eastAsia="新細明體" w:cs="Times New Roman"/>
          <w:lang w:val="fr-FR" w:eastAsia="zh-TW"/>
        </w:rPr>
        <w:t xml:space="preserve"> </w:t>
      </w:r>
      <w:r w:rsidR="0010389B">
        <w:rPr>
          <w:rFonts w:ascii="新細明體" w:eastAsia="新細明體" w:hAnsi="新細明體" w:cs="新細明體" w:hint="eastAsia"/>
          <w:lang w:val="fr-FR" w:eastAsia="zh-TW"/>
        </w:rPr>
        <w:t>犯時不知</w:t>
      </w:r>
      <w:r w:rsidR="0010389B">
        <w:rPr>
          <w:rFonts w:eastAsia="新細明體" w:cs="Times New Roman"/>
          <w:lang w:val="fr-FR" w:eastAsia="zh-TW"/>
        </w:rPr>
        <w:t xml:space="preserve"> </w:t>
      </w:r>
      <w:r w:rsidR="00BA0A0C">
        <w:rPr>
          <w:rFonts w:eastAsia="新細明體" w:cs="Times New Roman"/>
          <w:lang w:val="fr-FR" w:eastAsia="zh-TW"/>
        </w:rPr>
        <w:t>(“being unaware [of the seriousness of one’s crime] whilst committing it</w:t>
      </w:r>
      <w:r w:rsidR="0010389B">
        <w:rPr>
          <w:rFonts w:eastAsia="新細明體" w:cs="Times New Roman"/>
          <w:lang w:val="fr-FR" w:eastAsia="zh-TW"/>
        </w:rPr>
        <w:t>”</w:t>
      </w:r>
      <w:r w:rsidR="00BA0A0C">
        <w:rPr>
          <w:rFonts w:eastAsia="新細明體" w:cs="Times New Roman"/>
          <w:lang w:val="fr-FR" w:eastAsia="zh-TW"/>
        </w:rPr>
        <w:t>)</w:t>
      </w:r>
      <w:r w:rsidR="0010389B">
        <w:rPr>
          <w:rFonts w:eastAsia="新細明體" w:cs="Times New Roman"/>
          <w:lang w:val="fr-FR" w:eastAsia="zh-TW"/>
        </w:rPr>
        <w:t>.</w:t>
      </w:r>
      <w:r>
        <w:rPr>
          <w:rFonts w:eastAsia="新細明體" w:cs="Times New Roman"/>
          <w:lang w:val="fr-FR" w:eastAsia="zh-TW"/>
        </w:rPr>
        <w:t xml:space="preserve"> </w:t>
      </w:r>
      <w:r w:rsidR="0010389B">
        <w:rPr>
          <w:rFonts w:eastAsia="新細明體" w:cs="Times New Roman"/>
          <w:lang w:val="fr-FR" w:eastAsia="zh-TW"/>
        </w:rPr>
        <w:t xml:space="preserve">By and large, this notion </w:t>
      </w:r>
      <w:r>
        <w:rPr>
          <w:rFonts w:eastAsia="新細明體" w:cs="Times New Roman"/>
          <w:lang w:val="fr-FR" w:eastAsia="zh-TW"/>
        </w:rPr>
        <w:t xml:space="preserve">has </w:t>
      </w:r>
      <w:r w:rsidR="0010389B">
        <w:rPr>
          <w:rFonts w:eastAsia="新細明體" w:cs="Times New Roman"/>
          <w:lang w:val="fr-FR" w:eastAsia="zh-TW"/>
        </w:rPr>
        <w:t xml:space="preserve">been left aside from previous analysis </w:t>
      </w:r>
      <w:r>
        <w:rPr>
          <w:rFonts w:eastAsia="新細明體" w:cs="Times New Roman"/>
          <w:lang w:val="fr-FR" w:eastAsia="zh-TW"/>
        </w:rPr>
        <w:t xml:space="preserve">up to now. As I have endeaoured to show, </w:t>
      </w:r>
      <w:r w:rsidR="0010389B">
        <w:rPr>
          <w:rFonts w:eastAsia="新細明體" w:cs="Times New Roman"/>
          <w:lang w:val="fr-FR" w:eastAsia="zh-TW"/>
        </w:rPr>
        <w:t xml:space="preserve">it </w:t>
      </w:r>
      <w:r w:rsidR="002061F5">
        <w:rPr>
          <w:rFonts w:eastAsia="新細明體" w:cs="Times New Roman"/>
          <w:lang w:val="fr-FR" w:eastAsia="zh-TW"/>
        </w:rPr>
        <w:t xml:space="preserve">appears quite </w:t>
      </w:r>
      <w:r>
        <w:rPr>
          <w:rFonts w:eastAsia="新細明體" w:cs="Times New Roman"/>
          <w:lang w:val="fr-FR" w:eastAsia="zh-TW"/>
        </w:rPr>
        <w:t>early in the official le</w:t>
      </w:r>
      <w:r w:rsidR="002061F5">
        <w:rPr>
          <w:rFonts w:eastAsia="新細明體" w:cs="Times New Roman"/>
          <w:lang w:val="fr-FR" w:eastAsia="zh-TW"/>
        </w:rPr>
        <w:t>gal codes of the Chinese empire</w:t>
      </w:r>
      <w:r>
        <w:rPr>
          <w:rFonts w:eastAsia="新細明體" w:cs="Times New Roman"/>
          <w:lang w:val="fr-FR" w:eastAsia="zh-TW"/>
        </w:rPr>
        <w:t xml:space="preserve"> </w:t>
      </w:r>
      <w:r w:rsidR="002061F5">
        <w:rPr>
          <w:rFonts w:eastAsia="新細明體" w:cs="Times New Roman"/>
          <w:lang w:val="fr-FR" w:eastAsia="zh-TW"/>
        </w:rPr>
        <w:t xml:space="preserve">and </w:t>
      </w:r>
      <w:r>
        <w:rPr>
          <w:rFonts w:eastAsia="新細明體" w:cs="Times New Roman"/>
          <w:lang w:val="fr-FR" w:eastAsia="zh-TW"/>
        </w:rPr>
        <w:t xml:space="preserve">has remained </w:t>
      </w:r>
      <w:r w:rsidR="002061F5">
        <w:rPr>
          <w:rFonts w:eastAsia="新細明體" w:cs="Times New Roman"/>
          <w:lang w:val="fr-FR" w:eastAsia="zh-TW"/>
        </w:rPr>
        <w:t xml:space="preserve">included in them until they were discarded all together in the early twentieth century. When studying the way </w:t>
      </w:r>
      <w:r w:rsidR="0010389B">
        <w:rPr>
          <w:rFonts w:eastAsia="新細明體" w:cs="Times New Roman"/>
          <w:lang w:val="fr-FR" w:eastAsia="zh-TW"/>
        </w:rPr>
        <w:t xml:space="preserve">it </w:t>
      </w:r>
      <w:r w:rsidR="002061F5">
        <w:rPr>
          <w:rFonts w:eastAsia="新細明體" w:cs="Times New Roman"/>
          <w:lang w:val="fr-FR" w:eastAsia="zh-TW"/>
        </w:rPr>
        <w:t xml:space="preserve">was taken into account in the everyday judicial practice, one can point out several aspects. First, even though it does not seem to have been essential </w:t>
      </w:r>
      <w:r w:rsidR="0010389B">
        <w:rPr>
          <w:rFonts w:eastAsia="新細明體" w:cs="Times New Roman"/>
          <w:lang w:val="fr-FR" w:eastAsia="zh-TW"/>
        </w:rPr>
        <w:t>to the running of the judiciary</w:t>
      </w:r>
      <w:r w:rsidR="002061F5">
        <w:rPr>
          <w:rFonts w:eastAsia="新細明體" w:cs="Times New Roman"/>
          <w:lang w:val="fr-FR" w:eastAsia="zh-TW"/>
        </w:rPr>
        <w:t xml:space="preserve">, it was resorted to quite regularly in a series of instances, at least up to the first decades of the nineteenth century. </w:t>
      </w:r>
      <w:r w:rsidR="0010389B">
        <w:rPr>
          <w:rFonts w:eastAsia="新細明體" w:cs="Times New Roman"/>
          <w:lang w:val="fr-FR" w:eastAsia="zh-TW"/>
        </w:rPr>
        <w:t>I</w:t>
      </w:r>
      <w:r w:rsidR="002061F5">
        <w:rPr>
          <w:rFonts w:eastAsia="新細明體" w:cs="Times New Roman"/>
          <w:lang w:val="fr-FR" w:eastAsia="zh-TW"/>
        </w:rPr>
        <w:t xml:space="preserve">n particular, </w:t>
      </w:r>
      <w:r w:rsidR="0010389B">
        <w:rPr>
          <w:rFonts w:eastAsia="新細明體" w:cs="Times New Roman"/>
          <w:lang w:val="fr-FR" w:eastAsia="zh-TW"/>
        </w:rPr>
        <w:t xml:space="preserve">it was quite commonly used </w:t>
      </w:r>
      <w:r w:rsidR="002061F5">
        <w:rPr>
          <w:rFonts w:eastAsia="新細明體" w:cs="Times New Roman"/>
          <w:lang w:val="fr-FR" w:eastAsia="zh-TW"/>
        </w:rPr>
        <w:t xml:space="preserve">in cases of affrays inside the family structure, where its mitigating potential allowed to </w:t>
      </w:r>
      <w:r w:rsidR="00BA0A0C">
        <w:rPr>
          <w:rFonts w:eastAsia="新細明體" w:cs="Times New Roman"/>
          <w:lang w:val="fr-FR" w:eastAsia="zh-TW"/>
        </w:rPr>
        <w:t>set aside the status of the senior parties and thus limit the criminal liability of junior defendants.</w:t>
      </w:r>
    </w:p>
    <w:p w14:paraId="395BDD00" w14:textId="2C81922A" w:rsidR="008F3270" w:rsidRDefault="00BA0A0C" w:rsidP="001C6EAC">
      <w:pPr>
        <w:ind w:firstLine="284"/>
        <w:jc w:val="both"/>
        <w:rPr>
          <w:rFonts w:eastAsia="新細明體" w:cs="Times New Roman"/>
          <w:lang w:val="fr-FR" w:eastAsia="zh-TW"/>
        </w:rPr>
      </w:pPr>
      <w:r>
        <w:rPr>
          <w:rFonts w:eastAsia="新細明體" w:cs="Times New Roman"/>
          <w:lang w:val="fr-FR" w:eastAsia="zh-TW"/>
        </w:rPr>
        <w:t>Another interesting point is the proximity this notion maintains with that of negligence</w:t>
      </w:r>
      <w:r w:rsidR="0010389B">
        <w:rPr>
          <w:rFonts w:eastAsia="新細明體" w:cs="Times New Roman"/>
          <w:lang w:val="fr-FR" w:eastAsia="zh-TW"/>
        </w:rPr>
        <w:t xml:space="preserve"> (</w:t>
      </w:r>
      <w:r w:rsidR="0010389B" w:rsidRPr="0010389B">
        <w:rPr>
          <w:rFonts w:eastAsia="新細明體" w:cs="Times New Roman"/>
          <w:i/>
          <w:lang w:val="fr-FR" w:eastAsia="zh-TW"/>
        </w:rPr>
        <w:t>wu</w:t>
      </w:r>
      <w:r w:rsidR="0010389B">
        <w:rPr>
          <w:rFonts w:eastAsia="新細明體" w:cs="Times New Roman"/>
          <w:lang w:val="fr-FR" w:eastAsia="zh-TW"/>
        </w:rPr>
        <w:t xml:space="preserve"> </w:t>
      </w:r>
      <w:r w:rsidR="0010389B">
        <w:rPr>
          <w:rFonts w:ascii="新細明體" w:eastAsia="新細明體" w:hAnsi="新細明體" w:cs="新細明體" w:hint="eastAsia"/>
          <w:lang w:val="fr-FR" w:eastAsia="zh-TW"/>
        </w:rPr>
        <w:t>誤</w:t>
      </w:r>
      <w:r w:rsidR="0010389B">
        <w:rPr>
          <w:rFonts w:eastAsia="新細明體" w:cs="Times New Roman"/>
          <w:lang w:val="fr-FR" w:eastAsia="zh-TW"/>
        </w:rPr>
        <w:t>)</w:t>
      </w:r>
      <w:r>
        <w:rPr>
          <w:rFonts w:eastAsia="新細明體" w:cs="Times New Roman"/>
          <w:lang w:val="fr-FR" w:eastAsia="zh-TW"/>
        </w:rPr>
        <w:t xml:space="preserve"> in the construct of criminal intent. Like </w:t>
      </w:r>
      <w:r w:rsidR="0010389B">
        <w:rPr>
          <w:rFonts w:eastAsia="新細明體" w:cs="Times New Roman"/>
          <w:lang w:val="fr-FR" w:eastAsia="zh-TW"/>
        </w:rPr>
        <w:t>in the case of negligence</w:t>
      </w:r>
      <w:r>
        <w:rPr>
          <w:rFonts w:eastAsia="新細明體" w:cs="Times New Roman"/>
          <w:lang w:val="fr-FR" w:eastAsia="zh-TW"/>
        </w:rPr>
        <w:t xml:space="preserve">, the effective outburst of violence which characterizes the acts which </w:t>
      </w:r>
      <w:r w:rsidR="0010389B">
        <w:rPr>
          <w:rFonts w:eastAsia="新細明體" w:cs="Times New Roman"/>
          <w:lang w:val="fr-FR" w:eastAsia="zh-TW"/>
        </w:rPr>
        <w:t xml:space="preserve">the notion of fanshi bu zhi </w:t>
      </w:r>
      <w:r>
        <w:rPr>
          <w:rFonts w:eastAsia="新細明體" w:cs="Times New Roman"/>
          <w:lang w:val="fr-FR" w:eastAsia="zh-TW"/>
        </w:rPr>
        <w:t xml:space="preserve">encompasses, makes it difficult, inside the specific system of intentionality devised in the traditional Chinese context, to define </w:t>
      </w:r>
      <w:r w:rsidR="0010389B">
        <w:rPr>
          <w:rFonts w:eastAsia="新細明體" w:cs="Times New Roman"/>
          <w:lang w:val="fr-FR" w:eastAsia="zh-TW"/>
        </w:rPr>
        <w:t xml:space="preserve">such acts </w:t>
      </w:r>
      <w:r>
        <w:rPr>
          <w:rFonts w:eastAsia="新細明體" w:cs="Times New Roman"/>
          <w:lang w:val="fr-FR" w:eastAsia="zh-TW"/>
        </w:rPr>
        <w:t>as unintentional. The</w:t>
      </w:r>
      <w:r w:rsidR="0010389B">
        <w:rPr>
          <w:rFonts w:eastAsia="新細明體" w:cs="Times New Roman"/>
          <w:lang w:val="fr-FR" w:eastAsia="zh-TW"/>
        </w:rPr>
        <w:t>ir</w:t>
      </w:r>
      <w:r>
        <w:rPr>
          <w:rFonts w:eastAsia="新細明體" w:cs="Times New Roman"/>
          <w:lang w:val="fr-FR" w:eastAsia="zh-TW"/>
        </w:rPr>
        <w:t xml:space="preserve"> violent dimension points to a will to do harm, which could not be related to purely unintentional deeds.</w:t>
      </w:r>
    </w:p>
    <w:p w14:paraId="4FD8996C" w14:textId="5EED6EC5" w:rsidR="00BA0A0C" w:rsidRDefault="00BA0A0C" w:rsidP="001C6EAC">
      <w:pPr>
        <w:ind w:firstLine="284"/>
        <w:jc w:val="both"/>
        <w:rPr>
          <w:rFonts w:eastAsia="新細明體" w:cs="Times New Roman"/>
          <w:lang w:val="fr-FR" w:eastAsia="zh-TW"/>
        </w:rPr>
      </w:pPr>
      <w:r>
        <w:rPr>
          <w:rFonts w:eastAsia="新細明體" w:cs="Times New Roman"/>
          <w:lang w:val="fr-FR" w:eastAsia="zh-TW"/>
        </w:rPr>
        <w:t xml:space="preserve">Finally, an analysis of extent cases during the adjudication of which </w:t>
      </w:r>
      <w:r w:rsidR="0010389B">
        <w:rPr>
          <w:rFonts w:eastAsia="新細明體" w:cs="Times New Roman"/>
          <w:lang w:val="fr-FR" w:eastAsia="zh-TW"/>
        </w:rPr>
        <w:t>the notion</w:t>
      </w:r>
      <w:r>
        <w:rPr>
          <w:rFonts w:eastAsia="新細明體" w:cs="Times New Roman"/>
          <w:lang w:val="fr-FR" w:eastAsia="zh-TW"/>
        </w:rPr>
        <w:t xml:space="preserve"> was called into play tends to show that its use was redefined in the first deca</w:t>
      </w:r>
      <w:r w:rsidR="0010389B">
        <w:rPr>
          <w:rFonts w:eastAsia="新細明體" w:cs="Times New Roman"/>
          <w:lang w:val="fr-FR" w:eastAsia="zh-TW"/>
        </w:rPr>
        <w:t>des of the nineteenth century. In the process, its mitigating potential was effectively</w:t>
      </w:r>
      <w:r w:rsidR="007E7E0E">
        <w:rPr>
          <w:rFonts w:eastAsia="新細明體" w:cs="Times New Roman"/>
          <w:lang w:val="fr-FR" w:eastAsia="zh-TW"/>
        </w:rPr>
        <w:t xml:space="preserve"> </w:t>
      </w:r>
      <w:r>
        <w:rPr>
          <w:rFonts w:eastAsia="新細明體" w:cs="Times New Roman"/>
          <w:lang w:val="fr-FR" w:eastAsia="zh-TW"/>
        </w:rPr>
        <w:t>limit</w:t>
      </w:r>
      <w:r w:rsidR="0010389B">
        <w:rPr>
          <w:rFonts w:eastAsia="新細明體" w:cs="Times New Roman"/>
          <w:lang w:val="fr-FR" w:eastAsia="zh-TW"/>
        </w:rPr>
        <w:t>ed</w:t>
      </w:r>
      <w:r w:rsidR="007E7E0E">
        <w:rPr>
          <w:rFonts w:eastAsia="新細明體" w:cs="Times New Roman"/>
          <w:lang w:val="fr-FR" w:eastAsia="zh-TW"/>
        </w:rPr>
        <w:t xml:space="preserve">, especially in the cases it was most often resorted to, those involving junior members of </w:t>
      </w:r>
      <w:r w:rsidR="0010389B">
        <w:rPr>
          <w:rFonts w:eastAsia="新細明體" w:cs="Times New Roman"/>
          <w:lang w:val="fr-FR" w:eastAsia="zh-TW"/>
        </w:rPr>
        <w:t xml:space="preserve">a </w:t>
      </w:r>
      <w:r w:rsidR="007E7E0E">
        <w:rPr>
          <w:rFonts w:eastAsia="新細明體" w:cs="Times New Roman"/>
          <w:lang w:val="fr-FR" w:eastAsia="zh-TW"/>
        </w:rPr>
        <w:t xml:space="preserve">family having killed “by unawareness” a senior. This tendency appears to reflect other similar trends at the time, most notably in the way insane criminals were more strictly brought under the yoke of the law, especially those having done harm inside their family structure. Thus, to get back to our initial starting point – in other words the affair of Deng Tingmei –, whereas what preceeds would seem to indicate that the notion of </w:t>
      </w:r>
      <w:r w:rsidR="007E7E0E" w:rsidRPr="007E7E0E">
        <w:rPr>
          <w:rFonts w:eastAsia="新細明體" w:cs="Times New Roman"/>
          <w:i/>
          <w:lang w:val="fr-FR" w:eastAsia="zh-TW"/>
        </w:rPr>
        <w:t>fanshi bu zhi</w:t>
      </w:r>
      <w:r w:rsidR="007E7E0E">
        <w:rPr>
          <w:rFonts w:eastAsia="新細明體" w:cs="Times New Roman"/>
          <w:lang w:val="fr-FR" w:eastAsia="zh-TW"/>
        </w:rPr>
        <w:t xml:space="preserve"> brought forth by governor Yang at the time in order to try to clear Deng of any criminal liability for lack of criminal intent could </w:t>
      </w:r>
      <w:r w:rsidR="0010389B">
        <w:rPr>
          <w:rFonts w:eastAsia="新細明體" w:cs="Times New Roman"/>
          <w:lang w:val="fr-FR" w:eastAsia="zh-TW"/>
        </w:rPr>
        <w:t xml:space="preserve">indeed </w:t>
      </w:r>
      <w:r w:rsidR="007E7E0E">
        <w:rPr>
          <w:rFonts w:eastAsia="新細明體" w:cs="Times New Roman"/>
          <w:lang w:val="fr-FR" w:eastAsia="zh-TW"/>
        </w:rPr>
        <w:t>have been taken into account by the Board</w:t>
      </w:r>
      <w:r w:rsidR="0010389B">
        <w:rPr>
          <w:rFonts w:eastAsia="新細明體" w:cs="Times New Roman"/>
          <w:lang w:val="fr-FR" w:eastAsia="zh-TW"/>
        </w:rPr>
        <w:t xml:space="preserve"> of Punishments in Beijing</w:t>
      </w:r>
      <w:r w:rsidR="007E7E0E">
        <w:rPr>
          <w:rFonts w:eastAsia="新細明體" w:cs="Times New Roman"/>
          <w:lang w:val="fr-FR" w:eastAsia="zh-TW"/>
        </w:rPr>
        <w:t xml:space="preserve">, had it wanted to, its actual strict position, stemming </w:t>
      </w:r>
      <w:r w:rsidR="0010389B">
        <w:rPr>
          <w:rFonts w:eastAsia="新細明體" w:cs="Times New Roman"/>
          <w:lang w:val="fr-FR" w:eastAsia="zh-TW"/>
        </w:rPr>
        <w:t>in</w:t>
      </w:r>
      <w:r w:rsidR="007E7E0E">
        <w:rPr>
          <w:rFonts w:eastAsia="新細明體" w:cs="Times New Roman"/>
          <w:lang w:val="fr-FR" w:eastAsia="zh-TW"/>
        </w:rPr>
        <w:t xml:space="preserve"> good part from t</w:t>
      </w:r>
      <w:r w:rsidR="0010389B">
        <w:rPr>
          <w:rFonts w:eastAsia="新細明體" w:cs="Times New Roman"/>
          <w:lang w:val="fr-FR" w:eastAsia="zh-TW"/>
        </w:rPr>
        <w:t>he actual kinship link involved in this instance (the brotherly bond, one of the most fundamental), was to become dominant later on, seemingly setting the tone for Qing China’s traditional judiciary in its consideration of crimes committed inside the family structure.</w:t>
      </w:r>
    </w:p>
    <w:p w14:paraId="3CDDFE60" w14:textId="6BC785F6" w:rsidR="00C360DD" w:rsidRPr="00C360DD" w:rsidRDefault="004144D4" w:rsidP="001C6EAC">
      <w:pPr>
        <w:jc w:val="both"/>
        <w:rPr>
          <w:rFonts w:ascii="新細明體" w:eastAsia="新細明體" w:hAnsi="新細明體" w:cs="新細明體"/>
          <w:lang w:val="fr-FR" w:eastAsia="zh-TW"/>
        </w:rPr>
      </w:pPr>
      <w:r>
        <w:rPr>
          <w:rFonts w:eastAsia="新細明體" w:cs="Times New Roman"/>
          <w:lang w:val="fr-FR" w:eastAsia="zh-TW"/>
        </w:rPr>
        <w:t xml:space="preserve"> </w:t>
      </w:r>
    </w:p>
    <w:p w14:paraId="217748B5" w14:textId="55BF5495" w:rsidR="00F56A9C" w:rsidRPr="00497391" w:rsidRDefault="00F56A9C" w:rsidP="001C6EAC">
      <w:pPr>
        <w:jc w:val="both"/>
        <w:rPr>
          <w:lang w:val="fr-FR" w:eastAsia="zh-TW"/>
        </w:rPr>
      </w:pPr>
    </w:p>
    <w:sectPr w:rsidR="00F56A9C" w:rsidRPr="00497391" w:rsidSect="00721C21">
      <w:footerReference w:type="even" r:id="rId8"/>
      <w:footerReference w:type="default" r:id="rId9"/>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D0933" w14:textId="77777777" w:rsidR="00AD6712" w:rsidRDefault="00AD6712" w:rsidP="008D0132">
      <w:r>
        <w:separator/>
      </w:r>
    </w:p>
  </w:endnote>
  <w:endnote w:type="continuationSeparator" w:id="0">
    <w:p w14:paraId="62C0A6DA" w14:textId="77777777" w:rsidR="00AD6712" w:rsidRDefault="00AD6712" w:rsidP="008D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新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A63E" w14:textId="77777777" w:rsidR="00AD6712" w:rsidRDefault="00AD6712" w:rsidP="00AD671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6BF756" w14:textId="77777777" w:rsidR="00AD6712" w:rsidRDefault="00AD6712" w:rsidP="00AD6712">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262CD" w14:textId="77777777" w:rsidR="00AD6712" w:rsidRDefault="00AD6712" w:rsidP="00AD671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4263E">
      <w:rPr>
        <w:rStyle w:val="Numrodepage"/>
      </w:rPr>
      <w:t>1</w:t>
    </w:r>
    <w:r>
      <w:rPr>
        <w:rStyle w:val="Numrodepage"/>
      </w:rPr>
      <w:fldChar w:fldCharType="end"/>
    </w:r>
  </w:p>
  <w:p w14:paraId="35D302E2" w14:textId="77777777" w:rsidR="00AD6712" w:rsidRDefault="00AD6712" w:rsidP="00AD6712">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1C983" w14:textId="77777777" w:rsidR="00AD6712" w:rsidRDefault="00AD6712" w:rsidP="008D0132">
      <w:r>
        <w:separator/>
      </w:r>
    </w:p>
  </w:footnote>
  <w:footnote w:type="continuationSeparator" w:id="0">
    <w:p w14:paraId="06492391" w14:textId="77777777" w:rsidR="00AD6712" w:rsidRDefault="00AD6712" w:rsidP="008D0132">
      <w:r>
        <w:continuationSeparator/>
      </w:r>
    </w:p>
  </w:footnote>
  <w:footnote w:id="1">
    <w:p w14:paraId="51C007E9" w14:textId="4A1A971B" w:rsidR="00AD6712" w:rsidRPr="008D0132" w:rsidRDefault="00AD6712" w:rsidP="00A57D56">
      <w:pPr>
        <w:pStyle w:val="Notedebasdepage"/>
        <w:rPr>
          <w:lang w:val="fr-FR"/>
        </w:rPr>
      </w:pPr>
      <w:r>
        <w:rPr>
          <w:rStyle w:val="Marquenotebasdepage"/>
        </w:rPr>
        <w:footnoteRef/>
      </w:r>
      <w:r>
        <w:t xml:space="preserve"> For the case, see Hong Hongxu </w:t>
      </w:r>
      <w:r>
        <w:rPr>
          <w:rFonts w:ascii="新細明體" w:eastAsia="新細明體" w:hAnsi="新細明體" w:cs="新細明體" w:hint="eastAsia"/>
          <w:lang w:eastAsia="zh-TW"/>
        </w:rPr>
        <w:t>洪弘緒</w:t>
      </w:r>
      <w:r>
        <w:t xml:space="preserve">, Rao Han </w:t>
      </w:r>
      <w:r>
        <w:rPr>
          <w:rFonts w:ascii="新細明體" w:eastAsia="新細明體" w:hAnsi="新細明體" w:cs="新細明體" w:hint="eastAsia"/>
          <w:lang w:eastAsia="zh-TW"/>
        </w:rPr>
        <w:t>饒瀚</w:t>
      </w:r>
      <w:r>
        <w:t xml:space="preserve"> (comp.), </w:t>
      </w:r>
      <w:r w:rsidRPr="00C43C96">
        <w:rPr>
          <w:i/>
        </w:rPr>
        <w:t>Cheng’an zhiyi</w:t>
      </w:r>
      <w:r>
        <w:t xml:space="preserve"> </w:t>
      </w:r>
      <w:r>
        <w:rPr>
          <w:rFonts w:ascii="新細明體" w:eastAsia="新細明體" w:hAnsi="新細明體" w:cs="新細明體" w:hint="eastAsia"/>
          <w:lang w:eastAsia="zh-TW"/>
        </w:rPr>
        <w:t>成案質疑</w:t>
      </w:r>
      <w:r>
        <w:t xml:space="preserve">, 1755 edition, </w:t>
      </w:r>
      <w:r w:rsidRPr="00D777AE">
        <w:rPr>
          <w:i/>
        </w:rPr>
        <w:t>j</w:t>
      </w:r>
      <w:r>
        <w:t>. 20, “Fights and brawls”, p. 35a-37b.</w:t>
      </w:r>
    </w:p>
  </w:footnote>
  <w:footnote w:id="2">
    <w:p w14:paraId="31CDF6B0" w14:textId="73934332" w:rsidR="00AD6712" w:rsidRPr="00F04122" w:rsidRDefault="00AD6712" w:rsidP="00A57D56">
      <w:pPr>
        <w:pStyle w:val="Notedebasdepage"/>
        <w:rPr>
          <w:lang w:val="fr-FR"/>
        </w:rPr>
      </w:pPr>
      <w:r>
        <w:rPr>
          <w:rStyle w:val="Marquenotebasdepage"/>
        </w:rPr>
        <w:footnoteRef/>
      </w:r>
      <w:r>
        <w:t xml:space="preserve"> All along the Qing dynasty, up until the first years of the twentieth century, individuals suffering from a mental condition convicted of having killed their parents or grand-parents were systematically sentenced to live dismemberment (</w:t>
      </w:r>
      <w:r w:rsidRPr="00DD1BC7">
        <w:rPr>
          <w:i/>
        </w:rPr>
        <w:t>lingchi</w:t>
      </w:r>
      <w:r>
        <w:t xml:space="preserve"> </w:t>
      </w:r>
      <w:r>
        <w:rPr>
          <w:rFonts w:ascii="新細明體" w:eastAsia="新細明體" w:hAnsi="新細明體" w:cs="新細明體" w:hint="eastAsia"/>
          <w:lang w:eastAsia="zh-TW"/>
        </w:rPr>
        <w:t>凌遲</w:t>
      </w:r>
      <w:r>
        <w:t xml:space="preserve">). See my “Insanity and parricide in late imperial China (eighteenth-twentieth centuries)”, </w:t>
      </w:r>
      <w:r w:rsidRPr="00F04122">
        <w:rPr>
          <w:i/>
        </w:rPr>
        <w:t>International Journal of Asian Studies</w:t>
      </w:r>
      <w:r>
        <w:t>, 10, 2 (2013), pp. 115-141.</w:t>
      </w:r>
    </w:p>
  </w:footnote>
  <w:footnote w:id="3">
    <w:p w14:paraId="0066C7C9" w14:textId="6589F789" w:rsidR="00AD6712" w:rsidRPr="00713D6C" w:rsidRDefault="00AD6712" w:rsidP="00A57D56">
      <w:pPr>
        <w:pStyle w:val="Notedebasdepage"/>
        <w:rPr>
          <w:lang w:val="fr-FR"/>
        </w:rPr>
      </w:pPr>
      <w:r>
        <w:rPr>
          <w:rStyle w:val="Marquenotebasdepage"/>
        </w:rPr>
        <w:footnoteRef/>
      </w:r>
      <w:r>
        <w:t xml:space="preserve"> </w:t>
      </w:r>
      <w:r>
        <w:rPr>
          <w:lang w:val="fr-FR"/>
        </w:rPr>
        <w:t xml:space="preserve">As is well known, the traditional Chinese penal system distinguished between crimes committed by commoners and crimes committed inside the kinship structure. One guiding principle in this last instance was that younger generations were seen as inferior in status when compared to elder generations. Adjudicated according to the respective status of the parties involved, a crime committed by a member of a younger generation against an elder would thus be systematically meted out by a more severe punishement than in the reverse situation. This difference can be vividly grasped in the following extreme cases: whereas parricide was systematically meted out by  dismemberment, infanticide on the contrary would in most cases be meted out by a far more lenient punishment, and almost never by capital punishment. For interesting insights on these questions, see Françoise Lauwaert, </w:t>
      </w:r>
      <w:r w:rsidRPr="00D777AE">
        <w:rPr>
          <w:i/>
          <w:lang w:val="fr-FR"/>
        </w:rPr>
        <w:t>Le meurtre en famille. Parricide et infanticide en Chine (XVIII</w:t>
      </w:r>
      <w:r w:rsidRPr="00D777AE">
        <w:rPr>
          <w:i/>
          <w:vertAlign w:val="superscript"/>
          <w:lang w:val="fr-FR"/>
        </w:rPr>
        <w:t>e</w:t>
      </w:r>
      <w:r w:rsidRPr="00D777AE">
        <w:rPr>
          <w:i/>
          <w:lang w:val="fr-FR"/>
        </w:rPr>
        <w:t>-XIX</w:t>
      </w:r>
      <w:r w:rsidRPr="00D777AE">
        <w:rPr>
          <w:i/>
          <w:vertAlign w:val="superscript"/>
          <w:lang w:val="fr-FR"/>
        </w:rPr>
        <w:t>e</w:t>
      </w:r>
      <w:r w:rsidRPr="00D777AE">
        <w:rPr>
          <w:i/>
          <w:lang w:val="fr-FR"/>
        </w:rPr>
        <w:t xml:space="preserve"> siècles)</w:t>
      </w:r>
      <w:r>
        <w:rPr>
          <w:lang w:val="fr-FR"/>
        </w:rPr>
        <w:t>, Paris, Editions Odile Jacob, 1999.</w:t>
      </w:r>
    </w:p>
  </w:footnote>
  <w:footnote w:id="4">
    <w:p w14:paraId="6210D5F7" w14:textId="77777777" w:rsidR="00AD6712" w:rsidRPr="00474CAC" w:rsidRDefault="00AD6712" w:rsidP="00270E64">
      <w:pPr>
        <w:pStyle w:val="Notedebasdepage"/>
        <w:rPr>
          <w:lang w:val="fr-FR"/>
        </w:rPr>
      </w:pPr>
      <w:r>
        <w:rPr>
          <w:rStyle w:val="Marquenotebasdepage"/>
        </w:rPr>
        <w:footnoteRef/>
      </w:r>
      <w:r>
        <w:t xml:space="preserve"> </w:t>
      </w:r>
      <w:r>
        <w:rPr>
          <w:lang w:val="fr-FR"/>
        </w:rPr>
        <w:t xml:space="preserve">In </w:t>
      </w:r>
      <w:r>
        <w:rPr>
          <w:i/>
          <w:lang w:val="fr-FR"/>
        </w:rPr>
        <w:t>The Quality of Mercy</w:t>
      </w:r>
      <w:r w:rsidRPr="00474CAC">
        <w:rPr>
          <w:i/>
          <w:lang w:val="fr-FR"/>
        </w:rPr>
        <w:t>: Amnesties and Traditional Chinese Justice</w:t>
      </w:r>
      <w:r>
        <w:rPr>
          <w:lang w:val="fr-FR"/>
        </w:rPr>
        <w:t xml:space="preserve">, Honolulu, University of Hawai‘i Press, 1981, p. 2, Brian McKnight dates the influence of this notion back to the founder of the Western Zhou dynasty in the twelfth century BC. See also Timothy Brook,  Jérôme Bourgon, Gregory Blue, </w:t>
      </w:r>
      <w:r w:rsidRPr="00474CAC">
        <w:rPr>
          <w:i/>
          <w:lang w:val="fr-FR"/>
        </w:rPr>
        <w:t>Death by a Thousand Cuts</w:t>
      </w:r>
      <w:r>
        <w:rPr>
          <w:lang w:val="fr-FR"/>
        </w:rPr>
        <w:t>, Cambridge (Mass.), London, Harvard University Press, 2008, chap. 1, who provide interesting developments on this topic.</w:t>
      </w:r>
    </w:p>
  </w:footnote>
  <w:footnote w:id="5">
    <w:p w14:paraId="3AED62B0" w14:textId="77777777" w:rsidR="00AD6712" w:rsidRPr="00A57D56" w:rsidRDefault="00AD6712" w:rsidP="00270E64">
      <w:pPr>
        <w:pStyle w:val="Notedebasdepage"/>
        <w:rPr>
          <w:lang w:val="fr-FR"/>
        </w:rPr>
      </w:pPr>
      <w:r>
        <w:rPr>
          <w:rStyle w:val="Marquenotebasdepage"/>
        </w:rPr>
        <w:footnoteRef/>
      </w:r>
      <w:r>
        <w:t xml:space="preserve"> </w:t>
      </w:r>
      <w:r>
        <w:rPr>
          <w:lang w:val="fr-FR"/>
        </w:rPr>
        <w:t xml:space="preserve">For insights on the debate which developed around this issue see Karl Bünger, “The punishment of lunatics and negligents according to classical Chinese law”, in </w:t>
      </w:r>
      <w:r w:rsidRPr="00A57D56">
        <w:rPr>
          <w:i/>
          <w:lang w:val="fr-FR"/>
        </w:rPr>
        <w:t>Studia Serica</w:t>
      </w:r>
      <w:r>
        <w:rPr>
          <w:lang w:val="fr-FR"/>
        </w:rPr>
        <w:t xml:space="preserve">, vol. IX-2 (1950), p. 1-16 ; Anthony Hulsewé, </w:t>
      </w:r>
      <w:r>
        <w:rPr>
          <w:i/>
          <w:lang w:val="fr-FR"/>
        </w:rPr>
        <w:t>Remnants of Han Law</w:t>
      </w:r>
      <w:r w:rsidRPr="00A57D56">
        <w:rPr>
          <w:i/>
          <w:lang w:val="fr-FR"/>
        </w:rPr>
        <w:t>: Introductory Studies and an Annotated Traanslation of Chapters 22 and 23 of the “History of the Former Han Dynasty”</w:t>
      </w:r>
      <w:r>
        <w:rPr>
          <w:lang w:val="fr-FR"/>
        </w:rPr>
        <w:t xml:space="preserve">, Leiden, Brill, 1955 ; Nakamura Shigeo </w:t>
      </w:r>
      <w:r>
        <w:rPr>
          <w:rFonts w:ascii="ＭＳ 明朝" w:eastAsia="ＭＳ 明朝" w:hAnsi="ＭＳ 明朝" w:cs="ＭＳ 明朝" w:hint="eastAsia"/>
          <w:lang w:val="fr-FR" w:eastAsia="ja-JP"/>
        </w:rPr>
        <w:t>中村茂夫</w:t>
      </w:r>
      <w:r>
        <w:rPr>
          <w:lang w:val="fr-FR"/>
        </w:rPr>
        <w:t xml:space="preserve">, </w:t>
      </w:r>
      <w:r w:rsidRPr="00EA769E">
        <w:rPr>
          <w:i/>
          <w:lang w:val="fr-FR"/>
        </w:rPr>
        <w:t>Shindai keihô kenkyû</w:t>
      </w:r>
      <w:r>
        <w:rPr>
          <w:lang w:val="fr-FR"/>
        </w:rPr>
        <w:t xml:space="preserve"> </w:t>
      </w:r>
      <w:r>
        <w:rPr>
          <w:rFonts w:ascii="ＭＳ 明朝" w:eastAsia="ＭＳ 明朝" w:hAnsi="ＭＳ 明朝" w:cs="ＭＳ 明朝" w:hint="eastAsia"/>
          <w:lang w:val="fr-FR" w:eastAsia="ja-JP"/>
        </w:rPr>
        <w:t>清代刑法研究</w:t>
      </w:r>
      <w:r>
        <w:rPr>
          <w:lang w:val="fr-FR"/>
        </w:rPr>
        <w:t xml:space="preserve"> (Studies on Qing Criminal Law), Tokyo, Tôkyô Daigaku shuppankai, 1973 ; Martha Li Chiu, “Insanity in imperial China : a legal case study”, in Arthur Kleinman and Tsung-yi Lin (eds.), </w:t>
      </w:r>
      <w:r w:rsidRPr="00EA769E">
        <w:rPr>
          <w:i/>
          <w:lang w:val="fr-FR"/>
        </w:rPr>
        <w:t>Normal and Abnormal Behaviour in Chinese Culture</w:t>
      </w:r>
      <w:r>
        <w:rPr>
          <w:lang w:val="fr-FR"/>
        </w:rPr>
        <w:t xml:space="preserve">, Dordrecht, Boston, London, D. Reidel Publishing Co., 1981 ; Vivien Ng, </w:t>
      </w:r>
      <w:r w:rsidRPr="00EA769E">
        <w:rPr>
          <w:i/>
          <w:lang w:val="fr-FR"/>
        </w:rPr>
        <w:t>Madness in Late Imperial China</w:t>
      </w:r>
      <w:r>
        <w:rPr>
          <w:lang w:val="fr-FR"/>
        </w:rPr>
        <w:t>, Norman (Okla.), London, Universizy of Oklahoma Press, 1990.</w:t>
      </w:r>
    </w:p>
  </w:footnote>
  <w:footnote w:id="6">
    <w:p w14:paraId="369A54C3" w14:textId="6CDEA3C0" w:rsidR="00AD6712" w:rsidRPr="00546BD0" w:rsidRDefault="00AD6712" w:rsidP="00A57D56">
      <w:pPr>
        <w:pStyle w:val="Notedebasdepage"/>
        <w:rPr>
          <w:lang w:val="fr-FR"/>
        </w:rPr>
      </w:pPr>
      <w:r>
        <w:rPr>
          <w:rStyle w:val="Marquenotebasdepage"/>
        </w:rPr>
        <w:footnoteRef/>
      </w:r>
      <w:r>
        <w:t xml:space="preserve"> </w:t>
      </w:r>
      <w:r>
        <w:rPr>
          <w:lang w:val="fr-FR"/>
        </w:rPr>
        <w:t>One that I have found nowhere else developed in the cases I have worked on for the research mentioned above, note 2.</w:t>
      </w:r>
    </w:p>
  </w:footnote>
  <w:footnote w:id="7">
    <w:p w14:paraId="6DEA1A7B" w14:textId="50754147" w:rsidR="00AD6712" w:rsidRPr="00710353" w:rsidRDefault="00AD6712" w:rsidP="00A57D56">
      <w:pPr>
        <w:pStyle w:val="Notedebasdepage"/>
        <w:rPr>
          <w:lang w:val="fr-FR"/>
        </w:rPr>
      </w:pPr>
      <w:r>
        <w:rPr>
          <w:rStyle w:val="Marquenotebasdepage"/>
        </w:rPr>
        <w:footnoteRef/>
      </w:r>
      <w:r>
        <w:t xml:space="preserve"> Here, </w:t>
      </w:r>
      <w:r>
        <w:rPr>
          <w:lang w:val="fr-FR"/>
        </w:rPr>
        <w:t xml:space="preserve">my numbering of this statute follows that established by Huang Ching-chia in his edition of Xue Yunsheng’s </w:t>
      </w:r>
      <w:r w:rsidRPr="00710353">
        <w:rPr>
          <w:i/>
          <w:lang w:val="fr-FR"/>
        </w:rPr>
        <w:t>Duli cunyi</w:t>
      </w:r>
      <w:r>
        <w:rPr>
          <w:lang w:val="fr-FR"/>
        </w:rPr>
        <w:t xml:space="preserve"> (5 vols., Taipei, Chinese Materials and Research Aids Service Center, 1970). When referring to the </w:t>
      </w:r>
      <w:r w:rsidRPr="00A642E7">
        <w:rPr>
          <w:i/>
          <w:lang w:val="fr-FR"/>
        </w:rPr>
        <w:t>Ming Code</w:t>
      </w:r>
      <w:r>
        <w:rPr>
          <w:lang w:val="fr-FR"/>
        </w:rPr>
        <w:t xml:space="preserve"> (</w:t>
      </w:r>
      <w:r>
        <w:rPr>
          <w:rFonts w:ascii="新細明體" w:eastAsia="新細明體" w:hAnsi="新細明體" w:cs="新細明體" w:hint="eastAsia"/>
          <w:lang w:val="fr-FR" w:eastAsia="zh-TW"/>
        </w:rPr>
        <w:t>大明律</w:t>
      </w:r>
      <w:r>
        <w:rPr>
          <w:lang w:val="fr-FR"/>
        </w:rPr>
        <w:t xml:space="preserve">) or different editions of the </w:t>
      </w:r>
      <w:r w:rsidRPr="00A642E7">
        <w:rPr>
          <w:i/>
          <w:lang w:val="fr-FR"/>
        </w:rPr>
        <w:t>Qing Code</w:t>
      </w:r>
      <w:r>
        <w:rPr>
          <w:lang w:val="fr-FR"/>
        </w:rPr>
        <w:t>, I resort to its actual number in the succesion of statutes of each edition.</w:t>
      </w:r>
    </w:p>
  </w:footnote>
  <w:footnote w:id="8">
    <w:p w14:paraId="5D4F1D92" w14:textId="1DFE2539" w:rsidR="00AD6712" w:rsidRPr="00312498" w:rsidRDefault="00AD6712" w:rsidP="00A57D56">
      <w:pPr>
        <w:pStyle w:val="Notedebasdepage"/>
        <w:rPr>
          <w:lang w:val="fr-FR"/>
        </w:rPr>
      </w:pPr>
      <w:r>
        <w:rPr>
          <w:rStyle w:val="Marquenotebasdepage"/>
        </w:rPr>
        <w:footnoteRef/>
      </w:r>
      <w:r>
        <w:t xml:space="preserve"> </w:t>
      </w:r>
      <w:r>
        <w:rPr>
          <w:lang w:val="fr-FR"/>
        </w:rPr>
        <w:t xml:space="preserve">See Jiang Yonglin, </w:t>
      </w:r>
      <w:r w:rsidRPr="00A45FE3">
        <w:rPr>
          <w:i/>
          <w:lang w:val="fr-FR"/>
        </w:rPr>
        <w:t>The Great Ming Code</w:t>
      </w:r>
      <w:r>
        <w:rPr>
          <w:lang w:val="fr-FR"/>
        </w:rPr>
        <w:t>, Seattle, University of Washingont Press, 2004, p. 43 (where the statute is number 37).</w:t>
      </w:r>
    </w:p>
  </w:footnote>
  <w:footnote w:id="9">
    <w:p w14:paraId="1E017C61" w14:textId="1152D73E" w:rsidR="00AD6712" w:rsidRPr="007E3C73" w:rsidRDefault="00AD6712" w:rsidP="00A57D56">
      <w:pPr>
        <w:pStyle w:val="Notedebasdepage"/>
        <w:rPr>
          <w:lang w:val="fr-FR"/>
        </w:rPr>
      </w:pPr>
      <w:r>
        <w:rPr>
          <w:rStyle w:val="Marquenotebasdepage"/>
        </w:rPr>
        <w:footnoteRef/>
      </w:r>
      <w:r>
        <w:t xml:space="preserve"> </w:t>
      </w:r>
      <w:r>
        <w:rPr>
          <w:lang w:val="fr-FR"/>
        </w:rPr>
        <w:t xml:space="preserve">See Xue Yunsheng, </w:t>
      </w:r>
      <w:r w:rsidRPr="007E3C73">
        <w:rPr>
          <w:i/>
          <w:lang w:val="fr-FR"/>
        </w:rPr>
        <w:t>Dulin cunyi</w:t>
      </w:r>
      <w:r>
        <w:rPr>
          <w:lang w:val="fr-FR"/>
        </w:rPr>
        <w:t xml:space="preserve"> (Huang Ching-chia edition), p. 134.</w:t>
      </w:r>
    </w:p>
  </w:footnote>
  <w:footnote w:id="10">
    <w:p w14:paraId="6EA93CC2" w14:textId="3BB5BEBC" w:rsidR="00AD6712" w:rsidRPr="004A3FA2" w:rsidRDefault="00AD6712" w:rsidP="00A57D56">
      <w:pPr>
        <w:pStyle w:val="Notedebasdepage"/>
        <w:rPr>
          <w:lang w:val="fr-FR"/>
        </w:rPr>
      </w:pPr>
      <w:r>
        <w:rPr>
          <w:rStyle w:val="Marquenotebasdepage"/>
        </w:rPr>
        <w:footnoteRef/>
      </w:r>
      <w:r>
        <w:t xml:space="preserve"> See </w:t>
      </w:r>
      <w:r w:rsidRPr="004A3FA2">
        <w:rPr>
          <w:i/>
        </w:rPr>
        <w:t>Da Qing huidian shili</w:t>
      </w:r>
      <w:r>
        <w:t xml:space="preserve">, 1899 edition, Shanghai, Shangwu yinshuguan, 1909, </w:t>
      </w:r>
      <w:r w:rsidRPr="004A3FA2">
        <w:rPr>
          <w:i/>
        </w:rPr>
        <w:t>j</w:t>
      </w:r>
      <w:r>
        <w:t xml:space="preserve">. 805, p. 12ab (where we can see that this decision was codified in 1727); Xue Yunsheng, </w:t>
      </w:r>
      <w:r w:rsidRPr="004A3FA2">
        <w:rPr>
          <w:i/>
        </w:rPr>
        <w:t>op</w:t>
      </w:r>
      <w:r>
        <w:t xml:space="preserve">. </w:t>
      </w:r>
      <w:r w:rsidRPr="004A3FA2">
        <w:rPr>
          <w:i/>
        </w:rPr>
        <w:t>cit</w:t>
      </w:r>
      <w:r>
        <w:t xml:space="preserve">., </w:t>
      </w:r>
      <w:r w:rsidRPr="004A3FA2">
        <w:rPr>
          <w:i/>
        </w:rPr>
        <w:t>j</w:t>
      </w:r>
      <w:r>
        <w:t>. 34, p. 849.</w:t>
      </w:r>
    </w:p>
  </w:footnote>
  <w:footnote w:id="11">
    <w:p w14:paraId="42752221" w14:textId="07B417B7" w:rsidR="00AD6712" w:rsidRPr="00FE54D5" w:rsidRDefault="00AD6712" w:rsidP="00A57D56">
      <w:pPr>
        <w:pStyle w:val="Notedebasdepage"/>
        <w:rPr>
          <w:lang w:val="fr-FR"/>
        </w:rPr>
      </w:pPr>
      <w:r>
        <w:rPr>
          <w:rStyle w:val="Marquenotebasdepage"/>
        </w:rPr>
        <w:footnoteRef/>
      </w:r>
      <w:r>
        <w:t xml:space="preserve"> This expression can be found in many judicial reports devoted to homicides by mentally ill persons, to the point that in can be considered as a sort of juridical </w:t>
      </w:r>
      <w:r w:rsidRPr="004A3F42">
        <w:rPr>
          <w:i/>
        </w:rPr>
        <w:t>locus classicus</w:t>
      </w:r>
      <w:r w:rsidRPr="004A3F42">
        <w:t xml:space="preserve"> </w:t>
      </w:r>
      <w:r>
        <w:t xml:space="preserve">of such affairs. See for example Zhang Guangye </w:t>
      </w:r>
      <w:r>
        <w:rPr>
          <w:rFonts w:ascii="新細明體" w:eastAsia="新細明體" w:hAnsi="新細明體" w:cs="新細明體" w:hint="eastAsia"/>
          <w:lang w:eastAsia="zh-TW"/>
        </w:rPr>
        <w:t>張光月</w:t>
      </w:r>
      <w:r>
        <w:t xml:space="preserve"> (comp.), </w:t>
      </w:r>
      <w:r w:rsidRPr="004A3F42">
        <w:rPr>
          <w:i/>
        </w:rPr>
        <w:t>Li’an quanji</w:t>
      </w:r>
      <w:r>
        <w:t xml:space="preserve"> </w:t>
      </w:r>
      <w:r>
        <w:rPr>
          <w:rFonts w:ascii="新細明體" w:eastAsia="新細明體" w:hAnsi="新細明體" w:cs="新細明體" w:hint="eastAsia"/>
          <w:lang w:eastAsia="zh-TW"/>
        </w:rPr>
        <w:t>例案全集</w:t>
      </w:r>
      <w:r>
        <w:t xml:space="preserve">, 1737 edition, </w:t>
      </w:r>
      <w:r w:rsidRPr="004A3F42">
        <w:rPr>
          <w:i/>
        </w:rPr>
        <w:t>j</w:t>
      </w:r>
      <w:r>
        <w:t>. 22, “Homicides”, p. 26ab.</w:t>
      </w:r>
    </w:p>
  </w:footnote>
  <w:footnote w:id="12">
    <w:p w14:paraId="4B4551FD" w14:textId="77777777" w:rsidR="00AD6712" w:rsidRPr="008150B7" w:rsidRDefault="00AD6712" w:rsidP="00450EBD">
      <w:pPr>
        <w:pStyle w:val="Notedebasdepage"/>
        <w:rPr>
          <w:lang w:val="fr-FR"/>
        </w:rPr>
      </w:pPr>
      <w:r>
        <w:rPr>
          <w:rStyle w:val="Marquenotebasdepage"/>
        </w:rPr>
        <w:footnoteRef/>
      </w:r>
      <w:r>
        <w:t xml:space="preserve"> Hong Hongxu, Rao Han (comp.), </w:t>
      </w:r>
      <w:r w:rsidRPr="00AC20C2">
        <w:rPr>
          <w:i/>
        </w:rPr>
        <w:t>op</w:t>
      </w:r>
      <w:r>
        <w:t xml:space="preserve">. </w:t>
      </w:r>
      <w:r w:rsidRPr="00AC20C2">
        <w:rPr>
          <w:i/>
        </w:rPr>
        <w:t>cit</w:t>
      </w:r>
      <w:r>
        <w:t xml:space="preserve">., </w:t>
      </w:r>
      <w:r w:rsidRPr="00AC20C2">
        <w:rPr>
          <w:i/>
        </w:rPr>
        <w:t>j</w:t>
      </w:r>
      <w:r>
        <w:t>. 20, p. 35b-36a.</w:t>
      </w:r>
    </w:p>
  </w:footnote>
  <w:footnote w:id="13">
    <w:p w14:paraId="62840E60" w14:textId="2A8A38F2" w:rsidR="00AD6712" w:rsidRPr="0071644A" w:rsidRDefault="00AD6712">
      <w:pPr>
        <w:pStyle w:val="Notedebasdepage"/>
        <w:rPr>
          <w:lang w:val="fr-FR"/>
        </w:rPr>
      </w:pPr>
      <w:r>
        <w:rPr>
          <w:rStyle w:val="Marquenotebasdepage"/>
        </w:rPr>
        <w:footnoteRef/>
      </w:r>
      <w:r>
        <w:t xml:space="preserve"> </w:t>
      </w:r>
      <w:r w:rsidRPr="0071644A">
        <w:rPr>
          <w:i/>
        </w:rPr>
        <w:t>Ibid</w:t>
      </w:r>
      <w:r>
        <w:t>., p. 35b.</w:t>
      </w:r>
    </w:p>
  </w:footnote>
  <w:footnote w:id="14">
    <w:p w14:paraId="3B996D24" w14:textId="66AD984C" w:rsidR="00AD6712" w:rsidRPr="005F04A7" w:rsidRDefault="00AD6712">
      <w:pPr>
        <w:pStyle w:val="Notedebasdepage"/>
        <w:rPr>
          <w:lang w:val="fr-FR"/>
        </w:rPr>
      </w:pPr>
      <w:r>
        <w:rPr>
          <w:rStyle w:val="Marquenotebasdepage"/>
        </w:rPr>
        <w:footnoteRef/>
      </w:r>
      <w:r>
        <w:t xml:space="preserve"> Below I will resort to the pinyin rendering of this expression, </w:t>
      </w:r>
      <w:r w:rsidRPr="005F04A7">
        <w:rPr>
          <w:i/>
        </w:rPr>
        <w:t>fan shi buzhi</w:t>
      </w:r>
      <w:r>
        <w:t>, which has the advantage of being concise.</w:t>
      </w:r>
    </w:p>
  </w:footnote>
  <w:footnote w:id="15">
    <w:p w14:paraId="00A56DFE" w14:textId="2AE54E63" w:rsidR="00AD6712" w:rsidRPr="00765E6C" w:rsidRDefault="00AD6712">
      <w:pPr>
        <w:pStyle w:val="Notedebasdepage"/>
        <w:rPr>
          <w:lang w:val="fr-FR"/>
        </w:rPr>
      </w:pPr>
      <w:r>
        <w:rPr>
          <w:rStyle w:val="Marquenotebasdepage"/>
        </w:rPr>
        <w:footnoteRef/>
      </w:r>
      <w:r>
        <w:t xml:space="preserve"> </w:t>
      </w:r>
      <w:r>
        <w:rPr>
          <w:lang w:val="fr-FR"/>
        </w:rPr>
        <w:t xml:space="preserve">See Jiang Yonglin, </w:t>
      </w:r>
      <w:r w:rsidRPr="00765E6C">
        <w:rPr>
          <w:i/>
          <w:lang w:val="fr-FR"/>
        </w:rPr>
        <w:t>op</w:t>
      </w:r>
      <w:r>
        <w:rPr>
          <w:lang w:val="fr-FR"/>
        </w:rPr>
        <w:t xml:space="preserve">. </w:t>
      </w:r>
      <w:r w:rsidRPr="00765E6C">
        <w:rPr>
          <w:i/>
          <w:lang w:val="fr-FR"/>
        </w:rPr>
        <w:t>cit</w:t>
      </w:r>
      <w:r>
        <w:rPr>
          <w:lang w:val="fr-FR"/>
        </w:rPr>
        <w:t xml:space="preserve">., p. 43-44 ; P.-L.-F. Philastre, </w:t>
      </w:r>
      <w:r w:rsidRPr="00765E6C">
        <w:rPr>
          <w:i/>
          <w:lang w:val="fr-FR"/>
        </w:rPr>
        <w:t>Le Code annamite</w:t>
      </w:r>
      <w:r>
        <w:rPr>
          <w:lang w:val="fr-FR"/>
        </w:rPr>
        <w:t>, 2 vols., Paris, Ernest Leroux Editeur, 1909 (Taipei, Ch’eng-wen Publishing Co., 1967), vol. 1, p. 256-258.</w:t>
      </w:r>
    </w:p>
  </w:footnote>
  <w:footnote w:id="16">
    <w:p w14:paraId="0969FE90" w14:textId="111289AB" w:rsidR="00AD6712" w:rsidRPr="00037B2F" w:rsidRDefault="00AD6712">
      <w:pPr>
        <w:pStyle w:val="Notedebasdepage"/>
        <w:rPr>
          <w:lang w:val="fr-FR"/>
        </w:rPr>
      </w:pPr>
      <w:r>
        <w:rPr>
          <w:rStyle w:val="Marquenotebasdepage"/>
        </w:rPr>
        <w:footnoteRef/>
      </w:r>
      <w:r>
        <w:t xml:space="preserve"> </w:t>
      </w:r>
      <w:r>
        <w:rPr>
          <w:lang w:val="fr-FR"/>
        </w:rPr>
        <w:t>Jiang Yonglin translates the statute’s title as “Specific articles having different regulations for punishment” and Philastre by the French “Du cas où l’article applicable contient quelque disposition différente des règles de définition”.</w:t>
      </w:r>
    </w:p>
  </w:footnote>
  <w:footnote w:id="17">
    <w:p w14:paraId="73765E42" w14:textId="4B24AC41" w:rsidR="00AD6712" w:rsidRPr="009F7ECA" w:rsidRDefault="00AD6712">
      <w:pPr>
        <w:pStyle w:val="Notedebasdepage"/>
        <w:rPr>
          <w:lang w:val="fr-FR"/>
        </w:rPr>
      </w:pPr>
      <w:r>
        <w:rPr>
          <w:rStyle w:val="Marquenotebasdepage"/>
        </w:rPr>
        <w:footnoteRef/>
      </w:r>
      <w:r>
        <w:t xml:space="preserve"> </w:t>
      </w:r>
      <w:r>
        <w:rPr>
          <w:lang w:val="fr-FR" w:eastAsia="zh-TW"/>
        </w:rPr>
        <w:t>This ideal could never be fully achieved of course, if only because of the innumerable variety of human criminal conduct.</w:t>
      </w:r>
      <w:r w:rsidRPr="009F7ECA">
        <w:rPr>
          <w:lang w:val="fr-FR" w:eastAsia="zh-TW"/>
        </w:rPr>
        <w:t xml:space="preserve"> </w:t>
      </w:r>
      <w:r>
        <w:rPr>
          <w:lang w:val="fr-FR" w:eastAsia="zh-TW"/>
        </w:rPr>
        <w:t xml:space="preserve">But the underlying principle is noteworthy, for, by advocating the necessity, in the judicial process, to correlate criminal acts to predefined prohibitions – i.e. penal denominations – and from there to predefined and clearly and precisely expressed punishments, it strongly echoes with some cardinal notions of the modern legal tradition, first and foremost the legality principle. On the latter in relation with pre-modern China’s legal tradition, </w:t>
      </w:r>
      <w:r>
        <w:rPr>
          <w:lang w:val="fr-FR"/>
        </w:rPr>
        <w:t xml:space="preserve">see Jérôme Bourgon, “The principle of legality and legal rules in the Chinese legal tradition”, in Mireille Delmas-Marty and Pierre-Etienne Will (eds.), </w:t>
      </w:r>
      <w:r w:rsidRPr="00AC6672">
        <w:rPr>
          <w:i/>
          <w:lang w:val="fr-FR"/>
        </w:rPr>
        <w:t>China, democracy, and law: a historical and contemporary approach</w:t>
      </w:r>
      <w:r>
        <w:rPr>
          <w:lang w:val="fr-FR"/>
        </w:rPr>
        <w:t>, Leiden, Boston, Brill (Handbook of Oriental Studies. Section 4, China ; vol. 26), 2012.</w:t>
      </w:r>
    </w:p>
  </w:footnote>
  <w:footnote w:id="18">
    <w:p w14:paraId="0D78118A" w14:textId="32224F71" w:rsidR="00AD6712" w:rsidRPr="00A242AD" w:rsidRDefault="00AD6712" w:rsidP="00485D42">
      <w:pPr>
        <w:pStyle w:val="Notedebasdepage"/>
        <w:rPr>
          <w:rFonts w:ascii="新細明體" w:eastAsia="新細明體" w:hAnsi="新細明體" w:cs="新細明體"/>
          <w:lang w:val="fr-FR" w:eastAsia="zh-TW"/>
        </w:rPr>
      </w:pPr>
      <w:r>
        <w:rPr>
          <w:rStyle w:val="Marquenotebasdepage"/>
        </w:rPr>
        <w:footnoteRef/>
      </w:r>
      <w:r>
        <w:t xml:space="preserve"> See </w:t>
      </w:r>
      <w:r w:rsidRPr="00A242AD">
        <w:rPr>
          <w:i/>
          <w:lang w:val="fr-FR"/>
        </w:rPr>
        <w:t>op</w:t>
      </w:r>
      <w:r>
        <w:rPr>
          <w:lang w:val="fr-FR"/>
        </w:rPr>
        <w:t xml:space="preserve">. </w:t>
      </w:r>
      <w:r w:rsidRPr="00A242AD">
        <w:rPr>
          <w:i/>
          <w:lang w:val="fr-FR"/>
        </w:rPr>
        <w:t>cit</w:t>
      </w:r>
      <w:r>
        <w:rPr>
          <w:lang w:val="fr-FR"/>
        </w:rPr>
        <w:t xml:space="preserve">., p. 43. </w:t>
      </w:r>
    </w:p>
  </w:footnote>
  <w:footnote w:id="19">
    <w:p w14:paraId="72068CAB" w14:textId="14CD69E0" w:rsidR="00AD6712" w:rsidRPr="00DB11F1" w:rsidRDefault="00AD6712">
      <w:pPr>
        <w:pStyle w:val="Notedebasdepage"/>
        <w:rPr>
          <w:rFonts w:ascii="新細明體" w:eastAsia="新細明體" w:hAnsi="新細明體" w:cs="新細明體"/>
          <w:lang w:val="fr-FR" w:eastAsia="zh-TW"/>
        </w:rPr>
      </w:pPr>
      <w:r>
        <w:rPr>
          <w:rStyle w:val="Marquenotebasdepage"/>
        </w:rPr>
        <w:footnoteRef/>
      </w:r>
      <w:r>
        <w:t xml:space="preserve"> </w:t>
      </w:r>
      <w:r>
        <w:rPr>
          <w:lang w:val="fr-FR"/>
        </w:rPr>
        <w:t xml:space="preserve">More commnly used as </w:t>
      </w:r>
      <w:r>
        <w:rPr>
          <w:rFonts w:ascii="新細明體" w:eastAsia="新細明體" w:hAnsi="新細明體" w:cs="新細明體" w:hint="eastAsia"/>
          <w:lang w:val="fr-FR" w:eastAsia="zh-TW"/>
        </w:rPr>
        <w:t>探求</w:t>
      </w:r>
      <w:r w:rsidRPr="00DB11F1">
        <w:rPr>
          <w:rFonts w:eastAsia="新細明體" w:cs="Times New Roman"/>
          <w:lang w:val="fr-FR" w:eastAsia="zh-TW"/>
        </w:rPr>
        <w:t>.</w:t>
      </w:r>
    </w:p>
  </w:footnote>
  <w:footnote w:id="20">
    <w:p w14:paraId="3443F0CF" w14:textId="1AD739DB" w:rsidR="00AD6712" w:rsidRPr="00423EDE" w:rsidRDefault="00AD6712">
      <w:pPr>
        <w:pStyle w:val="Notedebasdepage"/>
        <w:rPr>
          <w:lang w:val="fr-FR"/>
        </w:rPr>
      </w:pPr>
      <w:r>
        <w:rPr>
          <w:rStyle w:val="Marquenotebasdepage"/>
        </w:rPr>
        <w:footnoteRef/>
      </w:r>
      <w:r>
        <w:t xml:space="preserve"> </w:t>
      </w:r>
      <w:r>
        <w:rPr>
          <w:lang w:val="fr-FR"/>
        </w:rPr>
        <w:t xml:space="preserve">See </w:t>
      </w:r>
      <w:r w:rsidRPr="00CB327D">
        <w:rPr>
          <w:i/>
          <w:lang w:val="fr-FR"/>
        </w:rPr>
        <w:t>Da Minglü jijie fuli</w:t>
      </w:r>
      <w:r>
        <w:rPr>
          <w:lang w:val="fr-FR"/>
        </w:rPr>
        <w:t xml:space="preserve">, </w:t>
      </w:r>
      <w:r w:rsidRPr="00CB327D">
        <w:rPr>
          <w:i/>
          <w:lang w:val="fr-FR"/>
        </w:rPr>
        <w:t>j</w:t>
      </w:r>
      <w:r>
        <w:rPr>
          <w:lang w:val="fr-FR"/>
        </w:rPr>
        <w:t>. 1, p. 85b-86b.</w:t>
      </w:r>
    </w:p>
  </w:footnote>
  <w:footnote w:id="21">
    <w:p w14:paraId="3C7520A1" w14:textId="0B1D0711" w:rsidR="00AD6712" w:rsidRPr="000B5B25" w:rsidRDefault="00AD6712">
      <w:pPr>
        <w:pStyle w:val="Notedebasdepage"/>
        <w:rPr>
          <w:lang w:val="fr-FR"/>
        </w:rPr>
      </w:pPr>
      <w:r>
        <w:rPr>
          <w:rStyle w:val="Marquenotebasdepage"/>
        </w:rPr>
        <w:footnoteRef/>
      </w:r>
      <w:r>
        <w:t xml:space="preserve"> See</w:t>
      </w:r>
      <w:r w:rsidRPr="000B5B25">
        <w:rPr>
          <w:i/>
        </w:rPr>
        <w:t xml:space="preserve"> </w:t>
      </w:r>
      <w:r w:rsidRPr="00763821">
        <w:rPr>
          <w:i/>
        </w:rPr>
        <w:t>Dulü suoyan</w:t>
      </w:r>
      <w:r>
        <w:t xml:space="preserve">, reprint Beijing, Falü chubanshe, 1999, </w:t>
      </w:r>
      <w:r w:rsidRPr="00763821">
        <w:rPr>
          <w:i/>
        </w:rPr>
        <w:t>j</w:t>
      </w:r>
      <w:r>
        <w:t>. 1, p. 55-56</w:t>
      </w:r>
    </w:p>
  </w:footnote>
  <w:footnote w:id="22">
    <w:p w14:paraId="33E7D82F" w14:textId="64512DAB" w:rsidR="00AD6712" w:rsidRPr="00665580" w:rsidRDefault="00AD6712">
      <w:pPr>
        <w:pStyle w:val="Notedebasdepage"/>
        <w:rPr>
          <w:rFonts w:eastAsia="新細明體" w:cs="Times New Roman"/>
          <w:lang w:val="fr-FR" w:eastAsia="zh-TW"/>
        </w:rPr>
      </w:pPr>
      <w:r>
        <w:rPr>
          <w:rStyle w:val="Marquenotebasdepage"/>
        </w:rPr>
        <w:footnoteRef/>
      </w:r>
      <w:r>
        <w:t xml:space="preserve"> </w:t>
      </w:r>
      <w:r>
        <w:rPr>
          <w:lang w:val="fr-FR"/>
        </w:rPr>
        <w:t xml:space="preserve">I use here Wang’s phrasing, which is a bit different than that found in the Code: </w:t>
      </w:r>
      <w:r>
        <w:rPr>
          <w:i/>
          <w:lang w:val="fr-FR"/>
        </w:rPr>
        <w:t>shi ying zou</w:t>
      </w:r>
      <w:r w:rsidRPr="00665580">
        <w:rPr>
          <w:i/>
          <w:lang w:val="fr-FR"/>
        </w:rPr>
        <w:t xml:space="preserve"> bu zou</w:t>
      </w:r>
      <w:r>
        <w:rPr>
          <w:lang w:val="fr-FR"/>
        </w:rPr>
        <w:t xml:space="preserve"> </w:t>
      </w:r>
      <w:r>
        <w:rPr>
          <w:rFonts w:ascii="新細明體" w:eastAsia="新細明體" w:hAnsi="新細明體" w:cs="新細明體" w:hint="eastAsia"/>
          <w:lang w:val="fr-FR" w:eastAsia="zh-TW"/>
        </w:rPr>
        <w:t>事應奏不奏</w:t>
      </w:r>
      <w:r>
        <w:rPr>
          <w:rFonts w:eastAsia="新細明體" w:cs="Times New Roman"/>
          <w:lang w:val="fr-FR" w:eastAsia="zh-TW"/>
        </w:rPr>
        <w:t>, which is found as statute 68 in the Ming Code (65 in the Qing Code).</w:t>
      </w:r>
    </w:p>
  </w:footnote>
  <w:footnote w:id="23">
    <w:p w14:paraId="47B26C14" w14:textId="51EC4CEA" w:rsidR="00AD6712" w:rsidRPr="00763821" w:rsidRDefault="00AD6712" w:rsidP="000B5B25">
      <w:pPr>
        <w:pStyle w:val="Notedebasdepage"/>
        <w:rPr>
          <w:rFonts w:cs="Times New Roman"/>
          <w:lang w:val="fr-FR"/>
        </w:rPr>
      </w:pPr>
      <w:r>
        <w:rPr>
          <w:rStyle w:val="Marquenotebasdepage"/>
        </w:rPr>
        <w:footnoteRef/>
      </w:r>
      <w:r>
        <w:t xml:space="preserve"> See Wang Kentang, </w:t>
      </w:r>
      <w:r w:rsidRPr="00763821">
        <w:rPr>
          <w:rFonts w:eastAsia="新細明體" w:cs="Times New Roman"/>
          <w:i/>
          <w:lang w:eastAsia="zh-TW"/>
        </w:rPr>
        <w:t>Wang Yibu xiansheng jianshi</w:t>
      </w:r>
      <w:r>
        <w:rPr>
          <w:rFonts w:eastAsia="新細明體" w:cs="Times New Roman"/>
          <w:lang w:eastAsia="zh-TW"/>
        </w:rPr>
        <w:t xml:space="preserve"> </w:t>
      </w:r>
      <w:r>
        <w:rPr>
          <w:rFonts w:ascii="新細明體" w:eastAsia="新細明體" w:hAnsi="新細明體" w:cs="新細明體" w:hint="eastAsia"/>
          <w:lang w:eastAsia="zh-TW"/>
        </w:rPr>
        <w:t>王儀部先生箋釋</w:t>
      </w:r>
      <w:r>
        <w:rPr>
          <w:rFonts w:eastAsia="新細明體" w:cs="Times New Roman"/>
          <w:lang w:val="fr-FR" w:eastAsia="zh-TW"/>
        </w:rPr>
        <w:t xml:space="preserve">, </w:t>
      </w:r>
      <w:r w:rsidRPr="00763821">
        <w:rPr>
          <w:rFonts w:eastAsia="新細明體" w:cs="Times New Roman"/>
          <w:i/>
          <w:lang w:val="fr-FR" w:eastAsia="zh-TW"/>
        </w:rPr>
        <w:t>j</w:t>
      </w:r>
      <w:r>
        <w:rPr>
          <w:rFonts w:eastAsia="新細明體" w:cs="Times New Roman"/>
          <w:lang w:val="fr-FR" w:eastAsia="zh-TW"/>
        </w:rPr>
        <w:t>. 1, p. 236-239.</w:t>
      </w:r>
    </w:p>
  </w:footnote>
  <w:footnote w:id="24">
    <w:p w14:paraId="7F46304B" w14:textId="16EBEA89" w:rsidR="00AD6712" w:rsidRPr="008A7E59" w:rsidRDefault="00AD6712">
      <w:pPr>
        <w:pStyle w:val="Notedebasdepage"/>
        <w:rPr>
          <w:lang w:val="fr-FR"/>
        </w:rPr>
      </w:pPr>
      <w:r>
        <w:rPr>
          <w:rStyle w:val="Marquenotebasdepage"/>
        </w:rPr>
        <w:footnoteRef/>
      </w:r>
      <w:r>
        <w:t xml:space="preserve"> </w:t>
      </w:r>
      <w:r>
        <w:rPr>
          <w:lang w:val="fr-FR"/>
        </w:rPr>
        <w:t xml:space="preserve">See </w:t>
      </w:r>
      <w:r w:rsidRPr="00C4174F">
        <w:rPr>
          <w:i/>
          <w:lang w:val="fr-FR"/>
        </w:rPr>
        <w:t>op</w:t>
      </w:r>
      <w:r>
        <w:rPr>
          <w:lang w:val="fr-FR"/>
        </w:rPr>
        <w:t xml:space="preserve">. </w:t>
      </w:r>
      <w:r w:rsidRPr="00C4174F">
        <w:rPr>
          <w:i/>
          <w:lang w:val="fr-FR"/>
        </w:rPr>
        <w:t>cit</w:t>
      </w:r>
      <w:r>
        <w:rPr>
          <w:lang w:val="fr-FR"/>
        </w:rPr>
        <w:t>., p. 256. The italics here feature the interlinear additions of the Qing phrasing.</w:t>
      </w:r>
    </w:p>
  </w:footnote>
  <w:footnote w:id="25">
    <w:p w14:paraId="6D58CB96" w14:textId="1CBBD483" w:rsidR="00AD6712" w:rsidRPr="007F5A3C" w:rsidRDefault="00AD6712">
      <w:pPr>
        <w:pStyle w:val="Notedebasdepage"/>
        <w:rPr>
          <w:lang w:val="fr-FR"/>
        </w:rPr>
      </w:pPr>
      <w:r>
        <w:rPr>
          <w:rStyle w:val="Marquenotebasdepage"/>
        </w:rPr>
        <w:footnoteRef/>
      </w:r>
      <w:r>
        <w:t xml:space="preserve"> As far as translation work is concerned, </w:t>
      </w:r>
      <w:r>
        <w:rPr>
          <w:lang w:val="fr-FR"/>
        </w:rPr>
        <w:t xml:space="preserve">these are two of the views shared by the group of scholars who actively take part in the research program “Legalizing space in China”. One of the team’s goals is precisely to provide French and English translations of parts, if not all, of late imperial China’s legal codes. For more information, see </w:t>
      </w:r>
      <w:hyperlink r:id="rId1" w:history="1">
        <w:r w:rsidRPr="00A15606">
          <w:rPr>
            <w:rStyle w:val="Lienhypertexte"/>
            <w:lang w:val="fr-FR"/>
          </w:rPr>
          <w:t>www.lsc.chineselegalculture.org</w:t>
        </w:r>
      </w:hyperlink>
    </w:p>
  </w:footnote>
  <w:footnote w:id="26">
    <w:p w14:paraId="678FA8EF" w14:textId="2DAF8E21" w:rsidR="00AD6712" w:rsidRPr="00200943" w:rsidRDefault="00AD6712">
      <w:pPr>
        <w:pStyle w:val="Notedebasdepage"/>
        <w:rPr>
          <w:lang w:val="fr-FR"/>
        </w:rPr>
      </w:pPr>
      <w:r>
        <w:rPr>
          <w:rStyle w:val="Marquenotebasdepage"/>
        </w:rPr>
        <w:footnoteRef/>
      </w:r>
      <w:r>
        <w:t xml:space="preserve"> See Huang Entong </w:t>
      </w:r>
      <w:r>
        <w:rPr>
          <w:rFonts w:ascii="新細明體" w:eastAsia="新細明體" w:hAnsi="新細明體" w:cs="新細明體" w:hint="eastAsia"/>
          <w:lang w:eastAsia="zh-TW"/>
        </w:rPr>
        <w:t>黃恩彤</w:t>
      </w:r>
      <w:r>
        <w:t xml:space="preserve"> (comp.), </w:t>
      </w:r>
      <w:r w:rsidRPr="00E62880">
        <w:rPr>
          <w:i/>
          <w:lang w:val="fr-FR"/>
        </w:rPr>
        <w:t>Da Qing lüli anyu</w:t>
      </w:r>
      <w:r>
        <w:rPr>
          <w:lang w:val="fr-FR"/>
        </w:rPr>
        <w:t xml:space="preserve"> </w:t>
      </w:r>
      <w:r>
        <w:rPr>
          <w:rFonts w:ascii="新細明體" w:eastAsia="新細明體" w:hAnsi="新細明體" w:cs="新細明體" w:hint="eastAsia"/>
          <w:lang w:val="fr-FR" w:eastAsia="zh-TW"/>
        </w:rPr>
        <w:t>大清律例按語</w:t>
      </w:r>
      <w:r>
        <w:rPr>
          <w:lang w:val="fr-FR"/>
        </w:rPr>
        <w:t xml:space="preserve">, 1847 edition (“boards stored at the Haishan xianguan” </w:t>
      </w:r>
      <w:r>
        <w:rPr>
          <w:rFonts w:ascii="新細明體" w:eastAsia="新細明體" w:hAnsi="新細明體" w:cs="新細明體" w:hint="eastAsia"/>
          <w:lang w:val="fr-FR" w:eastAsia="zh-TW"/>
        </w:rPr>
        <w:t>海山仙館</w:t>
      </w:r>
      <w:r>
        <w:rPr>
          <w:rFonts w:eastAsia="新細明體" w:cs="Times New Roman"/>
          <w:lang w:val="fr-FR" w:eastAsia="zh-TW"/>
        </w:rPr>
        <w:t>, in Canton</w:t>
      </w:r>
      <w:r>
        <w:rPr>
          <w:lang w:val="fr-FR"/>
        </w:rPr>
        <w:t xml:space="preserve">), </w:t>
      </w:r>
      <w:r w:rsidRPr="000913A5">
        <w:rPr>
          <w:i/>
          <w:lang w:val="fr-FR"/>
        </w:rPr>
        <w:t>j</w:t>
      </w:r>
      <w:r>
        <w:rPr>
          <w:lang w:val="fr-FR"/>
        </w:rPr>
        <w:t xml:space="preserve">. 1, p. 131a-132a ; Philastre, </w:t>
      </w:r>
      <w:r w:rsidRPr="00200943">
        <w:rPr>
          <w:i/>
          <w:lang w:val="fr-FR"/>
        </w:rPr>
        <w:t>op</w:t>
      </w:r>
      <w:r>
        <w:rPr>
          <w:lang w:val="fr-FR"/>
        </w:rPr>
        <w:t xml:space="preserve">. </w:t>
      </w:r>
      <w:r w:rsidRPr="00200943">
        <w:rPr>
          <w:i/>
          <w:lang w:val="fr-FR"/>
        </w:rPr>
        <w:t>cit</w:t>
      </w:r>
      <w:r>
        <w:rPr>
          <w:lang w:val="fr-FR"/>
        </w:rPr>
        <w:t>., p. 257.</w:t>
      </w:r>
    </w:p>
  </w:footnote>
  <w:footnote w:id="27">
    <w:p w14:paraId="5922BB63" w14:textId="3CDF4EB8" w:rsidR="00AD6712" w:rsidRPr="00AC6672" w:rsidRDefault="00AD6712" w:rsidP="009C3279">
      <w:pPr>
        <w:pStyle w:val="Notedebasdepage"/>
        <w:rPr>
          <w:lang w:val="fr-FR"/>
        </w:rPr>
      </w:pPr>
      <w:r>
        <w:rPr>
          <w:rStyle w:val="Marquenotebasdepage"/>
        </w:rPr>
        <w:footnoteRef/>
      </w:r>
      <w:r>
        <w:t xml:space="preserve"> </w:t>
      </w:r>
      <w:r>
        <w:rPr>
          <w:lang w:val="fr-FR"/>
        </w:rPr>
        <w:t xml:space="preserve">The expansion of the number of codified sub-statutes (tiaoli </w:t>
      </w:r>
      <w:r>
        <w:rPr>
          <w:rFonts w:ascii="新細明體" w:eastAsia="新細明體" w:hAnsi="新細明體" w:cs="新細明體" w:hint="eastAsia"/>
          <w:lang w:val="fr-FR" w:eastAsia="zh-TW"/>
        </w:rPr>
        <w:t>條例</w:t>
      </w:r>
      <w:r>
        <w:rPr>
          <w:lang w:val="fr-FR"/>
        </w:rPr>
        <w:t>) starting from the first half of the eighteenth century may well have been spurred by the systematization of the codification process, which seems to have originated in the late Ming, before gaining considerable momentum during the Yongzheng and early Qianlong reigns. But it can also be considered as a reflection of the legislators’ effort to frame the diversity of criminal behaviour.</w:t>
      </w:r>
    </w:p>
  </w:footnote>
  <w:footnote w:id="28">
    <w:p w14:paraId="77DAB4EA" w14:textId="2E87629A" w:rsidR="00AD6712" w:rsidRPr="008009AC" w:rsidRDefault="00AD6712">
      <w:pPr>
        <w:pStyle w:val="Notedebasdepage"/>
        <w:rPr>
          <w:rFonts w:eastAsia="新細明體" w:cs="Times New Roman"/>
          <w:lang w:val="fr-FR" w:eastAsia="zh-TW"/>
        </w:rPr>
      </w:pPr>
      <w:r w:rsidRPr="008009AC">
        <w:rPr>
          <w:rStyle w:val="Marquenotebasdepage"/>
          <w:rFonts w:cs="Times New Roman"/>
        </w:rPr>
        <w:footnoteRef/>
      </w:r>
      <w:r>
        <w:rPr>
          <w:rFonts w:eastAsia="新細明體" w:cs="Times New Roman"/>
          <w:lang w:val="fr-FR" w:eastAsia="zh-TW"/>
        </w:rPr>
        <w:t xml:space="preserve"> Taken in the strict sense, the terms </w:t>
      </w:r>
      <w:r w:rsidRPr="00F83ACA">
        <w:rPr>
          <w:rFonts w:eastAsia="新細明體" w:cs="Times New Roman"/>
          <w:i/>
          <w:lang w:val="fr-FR" w:eastAsia="zh-TW"/>
        </w:rPr>
        <w:t>shu</w:t>
      </w:r>
      <w:r>
        <w:rPr>
          <w:rFonts w:eastAsia="新細明體" w:cs="Times New Roman"/>
          <w:lang w:val="fr-FR" w:eastAsia="zh-TW"/>
        </w:rPr>
        <w:t xml:space="preserve"> </w:t>
      </w:r>
      <w:r>
        <w:rPr>
          <w:rFonts w:ascii="新細明體" w:eastAsia="新細明體" w:hAnsi="新細明體" w:cs="新細明體" w:hint="eastAsia"/>
          <w:lang w:val="fr-FR" w:eastAsia="zh-TW"/>
        </w:rPr>
        <w:t>叔</w:t>
      </w:r>
      <w:r w:rsidRPr="008009AC">
        <w:rPr>
          <w:rFonts w:eastAsia="新細明體" w:cs="Times New Roman"/>
          <w:lang w:val="fr-FR" w:eastAsia="zh-TW"/>
        </w:rPr>
        <w:t xml:space="preserve"> and </w:t>
      </w:r>
      <w:r w:rsidRPr="00F83ACA">
        <w:rPr>
          <w:rFonts w:eastAsia="新細明體" w:cs="Times New Roman"/>
          <w:i/>
          <w:lang w:val="fr-FR" w:eastAsia="zh-TW"/>
        </w:rPr>
        <w:t>zhi</w:t>
      </w:r>
      <w:r>
        <w:rPr>
          <w:rFonts w:eastAsia="新細明體" w:cs="Times New Roman"/>
          <w:lang w:val="fr-FR" w:eastAsia="zh-TW"/>
        </w:rPr>
        <w:t xml:space="preserve"> </w:t>
      </w:r>
      <w:r>
        <w:rPr>
          <w:rFonts w:ascii="新細明體" w:eastAsia="新細明體" w:hAnsi="新細明體" w:cs="新細明體" w:hint="eastAsia"/>
          <w:lang w:val="fr-FR" w:eastAsia="zh-TW"/>
        </w:rPr>
        <w:t>姪</w:t>
      </w:r>
      <w:r>
        <w:rPr>
          <w:rFonts w:eastAsia="新細明體" w:cs="Times New Roman"/>
          <w:lang w:val="fr-FR" w:eastAsia="zh-TW"/>
        </w:rPr>
        <w:t xml:space="preserve"> (or </w:t>
      </w:r>
      <w:r>
        <w:rPr>
          <w:rFonts w:ascii="新細明體" w:eastAsia="新細明體" w:hAnsi="新細明體" w:cs="新細明體" w:hint="eastAsia"/>
          <w:lang w:val="fr-FR" w:eastAsia="zh-TW"/>
        </w:rPr>
        <w:t>侄</w:t>
      </w:r>
      <w:r>
        <w:rPr>
          <w:rFonts w:eastAsia="新細明體" w:cs="Times New Roman"/>
          <w:lang w:val="fr-FR" w:eastAsia="zh-TW"/>
        </w:rPr>
        <w:t>) mean uncle and nephew belonging to the patrilineal group, as Jiang Yonglin aptly points out in his translation.</w:t>
      </w:r>
    </w:p>
  </w:footnote>
  <w:footnote w:id="29">
    <w:p w14:paraId="25513DB9" w14:textId="0A63FDC1" w:rsidR="00AD6712" w:rsidRPr="001528D1" w:rsidRDefault="00AD6712">
      <w:pPr>
        <w:pStyle w:val="Notedebasdepage"/>
        <w:rPr>
          <w:lang w:val="fr-FR"/>
        </w:rPr>
      </w:pPr>
      <w:r>
        <w:rPr>
          <w:rStyle w:val="Marquenotebasdepage"/>
        </w:rPr>
        <w:footnoteRef/>
      </w:r>
      <w:r>
        <w:t xml:space="preserve"> </w:t>
      </w:r>
      <w:r>
        <w:rPr>
          <w:lang w:val="fr-FR"/>
        </w:rPr>
        <w:t xml:space="preserve">For some insights on this massive production, see Pierre-Etienne Will (ed.), </w:t>
      </w:r>
      <w:r w:rsidRPr="005329AB">
        <w:rPr>
          <w:i/>
          <w:lang w:val="fr-FR"/>
        </w:rPr>
        <w:t>Official handbooks and anthologies of imperial China: A descriptive and critical bibliography</w:t>
      </w:r>
      <w:r>
        <w:rPr>
          <w:lang w:val="fr-FR"/>
        </w:rPr>
        <w:t xml:space="preserve"> (work in progress).</w:t>
      </w:r>
    </w:p>
  </w:footnote>
  <w:footnote w:id="30">
    <w:p w14:paraId="0CDAB43D" w14:textId="63FACED5" w:rsidR="00AD6712" w:rsidRPr="00E727BA" w:rsidRDefault="00AD6712">
      <w:pPr>
        <w:pStyle w:val="Notedebasdepage"/>
        <w:rPr>
          <w:lang w:val="fr-FR"/>
        </w:rPr>
      </w:pPr>
      <w:r>
        <w:rPr>
          <w:rStyle w:val="Marquenotebasdepage"/>
        </w:rPr>
        <w:footnoteRef/>
      </w:r>
      <w:r>
        <w:t xml:space="preserve"> </w:t>
      </w:r>
      <w:r>
        <w:rPr>
          <w:lang w:val="fr-FR"/>
        </w:rPr>
        <w:t xml:space="preserve">See </w:t>
      </w:r>
      <w:r w:rsidRPr="00E727BA">
        <w:rPr>
          <w:i/>
          <w:lang w:val="fr-FR"/>
        </w:rPr>
        <w:t>Dulü suoyan</w:t>
      </w:r>
      <w:r>
        <w:rPr>
          <w:lang w:val="fr-FR"/>
        </w:rPr>
        <w:t xml:space="preserve">, </w:t>
      </w:r>
      <w:r w:rsidRPr="00E727BA">
        <w:rPr>
          <w:i/>
          <w:lang w:val="fr-FR"/>
        </w:rPr>
        <w:t>j</w:t>
      </w:r>
      <w:r>
        <w:rPr>
          <w:lang w:val="fr-FR"/>
        </w:rPr>
        <w:t>. 1, p. 56.</w:t>
      </w:r>
    </w:p>
  </w:footnote>
  <w:footnote w:id="31">
    <w:p w14:paraId="638AC84B" w14:textId="0EA04807" w:rsidR="00AD6712" w:rsidRPr="003F5E42" w:rsidRDefault="00AD6712">
      <w:pPr>
        <w:pStyle w:val="Notedebasdepage"/>
        <w:rPr>
          <w:lang w:val="fr-FR"/>
        </w:rPr>
      </w:pPr>
      <w:r>
        <w:rPr>
          <w:rStyle w:val="Marquenotebasdepage"/>
        </w:rPr>
        <w:footnoteRef/>
      </w:r>
      <w:r>
        <w:t xml:space="preserve"> </w:t>
      </w:r>
      <w:r>
        <w:rPr>
          <w:lang w:val="fr-FR"/>
        </w:rPr>
        <w:t xml:space="preserve">See Huang Entong (comp.), </w:t>
      </w:r>
      <w:r w:rsidRPr="000913A5">
        <w:rPr>
          <w:i/>
          <w:lang w:val="fr-FR"/>
        </w:rPr>
        <w:t>Da Qing lüli anyu</w:t>
      </w:r>
      <w:r>
        <w:rPr>
          <w:lang w:val="fr-FR"/>
        </w:rPr>
        <w:t xml:space="preserve">, </w:t>
      </w:r>
      <w:r>
        <w:rPr>
          <w:i/>
          <w:lang w:val="fr-FR"/>
        </w:rPr>
        <w:t>loc</w:t>
      </w:r>
      <w:r>
        <w:rPr>
          <w:lang w:val="fr-FR"/>
        </w:rPr>
        <w:t xml:space="preserve">. </w:t>
      </w:r>
      <w:r w:rsidRPr="000913A5">
        <w:rPr>
          <w:i/>
          <w:lang w:val="fr-FR"/>
        </w:rPr>
        <w:t>cit</w:t>
      </w:r>
      <w:r>
        <w:rPr>
          <w:lang w:val="fr-FR"/>
        </w:rPr>
        <w:t>.</w:t>
      </w:r>
    </w:p>
  </w:footnote>
  <w:footnote w:id="32">
    <w:p w14:paraId="74B5D3E8" w14:textId="5F57A300" w:rsidR="00AD6712" w:rsidRPr="00E84CDC" w:rsidRDefault="00AD6712" w:rsidP="00962D34">
      <w:pPr>
        <w:pStyle w:val="Notedebasdepage"/>
        <w:rPr>
          <w:lang w:val="fr-FR"/>
        </w:rPr>
      </w:pPr>
      <w:r>
        <w:rPr>
          <w:rStyle w:val="Marquenotebasdepage"/>
        </w:rPr>
        <w:footnoteRef/>
      </w:r>
      <w:r>
        <w:t xml:space="preserve"> </w:t>
      </w:r>
      <w:r>
        <w:rPr>
          <w:lang w:val="fr-FR"/>
        </w:rPr>
        <w:t xml:space="preserve">No original edition of this code seems to have survived, but its contents can be found, among others (?), in Xue Yunsheng’s </w:t>
      </w:r>
      <w:r>
        <w:rPr>
          <w:rFonts w:ascii="新細明體" w:eastAsia="新細明體" w:hAnsi="新細明體" w:cs="新細明體" w:hint="eastAsia"/>
          <w:lang w:val="fr-FR" w:eastAsia="zh-TW"/>
        </w:rPr>
        <w:t>薛允升</w:t>
      </w:r>
      <w:r>
        <w:rPr>
          <w:lang w:val="fr-FR"/>
        </w:rPr>
        <w:t xml:space="preserve"> (1820-1901) famous combined study of the Tang and Ming codes: </w:t>
      </w:r>
      <w:r w:rsidRPr="00D8147F">
        <w:rPr>
          <w:i/>
          <w:lang w:val="fr-FR"/>
        </w:rPr>
        <w:t>Tang Ming lü hebian</w:t>
      </w:r>
      <w:r>
        <w:rPr>
          <w:lang w:val="fr-FR"/>
        </w:rPr>
        <w:t xml:space="preserve"> </w:t>
      </w:r>
      <w:r>
        <w:rPr>
          <w:rFonts w:ascii="新細明體" w:eastAsia="新細明體" w:hAnsi="新細明體" w:cs="新細明體" w:hint="eastAsia"/>
          <w:lang w:val="fr-FR" w:eastAsia="zh-TW"/>
        </w:rPr>
        <w:t>唐明律合編</w:t>
      </w:r>
      <w:r>
        <w:rPr>
          <w:lang w:val="fr-FR"/>
        </w:rPr>
        <w:t xml:space="preserve"> (reed. Beijing, Falü chubanshe, 1998). The statute appears here as number 49.</w:t>
      </w:r>
    </w:p>
  </w:footnote>
  <w:footnote w:id="33">
    <w:p w14:paraId="6B93BB27" w14:textId="77777777" w:rsidR="00AD6712" w:rsidRDefault="00AD6712">
      <w:pPr>
        <w:pStyle w:val="Notedebasdepage"/>
        <w:rPr>
          <w:lang w:val="fr-FR"/>
        </w:rPr>
      </w:pPr>
      <w:r>
        <w:rPr>
          <w:rStyle w:val="Marquenotebasdepage"/>
        </w:rPr>
        <w:footnoteRef/>
      </w:r>
      <w:r>
        <w:t xml:space="preserve"> </w:t>
      </w:r>
      <w:r>
        <w:rPr>
          <w:lang w:val="fr-FR"/>
        </w:rPr>
        <w:t xml:space="preserve">See </w:t>
      </w:r>
      <w:r w:rsidRPr="00D8147F">
        <w:rPr>
          <w:i/>
          <w:lang w:val="fr-FR"/>
        </w:rPr>
        <w:t xml:space="preserve">Tang </w:t>
      </w:r>
      <w:r>
        <w:rPr>
          <w:i/>
          <w:lang w:val="fr-FR"/>
        </w:rPr>
        <w:t>M</w:t>
      </w:r>
      <w:r w:rsidRPr="00D8147F">
        <w:rPr>
          <w:i/>
          <w:lang w:val="fr-FR"/>
        </w:rPr>
        <w:t>ing lü hebian</w:t>
      </w:r>
      <w:r>
        <w:rPr>
          <w:lang w:val="fr-FR"/>
        </w:rPr>
        <w:t>, p. 76. Wallace Johnson’s translation goes as follows:</w:t>
      </w:r>
    </w:p>
    <w:p w14:paraId="5263863D" w14:textId="1D7FAD5F" w:rsidR="00AD6712" w:rsidRDefault="00AD6712">
      <w:pPr>
        <w:pStyle w:val="Notedebasdepage"/>
        <w:rPr>
          <w:lang w:val="fr-FR"/>
        </w:rPr>
      </w:pPr>
      <w:r>
        <w:rPr>
          <w:lang w:val="fr-FR"/>
        </w:rPr>
        <w:t>“Specific articles having different regulations:</w:t>
      </w:r>
    </w:p>
    <w:p w14:paraId="60E0B5A0" w14:textId="77777777" w:rsidR="00AD6712" w:rsidRDefault="00AD6712">
      <w:pPr>
        <w:pStyle w:val="Notedebasdepage"/>
        <w:rPr>
          <w:lang w:val="fr-FR"/>
        </w:rPr>
      </w:pPr>
      <w:r>
        <w:rPr>
          <w:lang w:val="fr-FR"/>
        </w:rPr>
        <w:t>- All cases in which a specific article has a different regulation from that in a principle follow the specific article.</w:t>
      </w:r>
    </w:p>
    <w:p w14:paraId="4DF9EF3A" w14:textId="77777777" w:rsidR="00AD6712" w:rsidRDefault="00AD6712">
      <w:pPr>
        <w:pStyle w:val="Notedebasdepage"/>
        <w:rPr>
          <w:lang w:val="fr-FR"/>
        </w:rPr>
      </w:pPr>
      <w:r>
        <w:rPr>
          <w:lang w:val="fr-FR"/>
        </w:rPr>
        <w:t>- However, where more than one article may be appropriate, whichever has the heaviest punishment will be followed.</w:t>
      </w:r>
    </w:p>
    <w:p w14:paraId="7525EDB2" w14:textId="3EE09390" w:rsidR="00AD6712" w:rsidRDefault="00AD6712">
      <w:pPr>
        <w:pStyle w:val="Notedebasdepage"/>
        <w:rPr>
          <w:lang w:val="fr-FR"/>
        </w:rPr>
      </w:pPr>
      <w:r>
        <w:rPr>
          <w:lang w:val="fr-FR"/>
        </w:rPr>
        <w:t>- Cases that are basically more serious but ib which the circumstances are not known at the time the crime is committed are sentenced following the ordinary law. However, those cases that are basically less serious are sentenced according to the basic circumstances.”</w:t>
      </w:r>
    </w:p>
    <w:p w14:paraId="3F3DBF4C" w14:textId="43B75E40" w:rsidR="00AD6712" w:rsidRPr="00D8147F" w:rsidRDefault="00AD6712">
      <w:pPr>
        <w:pStyle w:val="Notedebasdepage"/>
        <w:rPr>
          <w:lang w:val="fr-FR"/>
        </w:rPr>
      </w:pPr>
      <w:r>
        <w:rPr>
          <w:lang w:val="fr-FR"/>
        </w:rPr>
        <w:t xml:space="preserve">See his </w:t>
      </w:r>
      <w:r w:rsidRPr="00FF247A">
        <w:rPr>
          <w:i/>
          <w:lang w:val="fr-FR"/>
        </w:rPr>
        <w:t>The T’ang Code. Volume 1, General Principles</w:t>
      </w:r>
      <w:r>
        <w:rPr>
          <w:lang w:val="fr-FR"/>
        </w:rPr>
        <w:t>, Princeton, Princeton University Press, 1979, p. 252-254. Yet again, I would amend here the translation of the second paragraph of the statute in the following way : “Even though the specific article includes a penal denomination, if the act perpetrated is more severe, follow the provisions for the more serious [crime].</w:t>
      </w:r>
    </w:p>
  </w:footnote>
  <w:footnote w:id="34">
    <w:p w14:paraId="41048BAC" w14:textId="0FB5B52A" w:rsidR="00AD6712" w:rsidRPr="00A32DE2" w:rsidRDefault="00AD6712">
      <w:pPr>
        <w:pStyle w:val="Notedebasdepage"/>
        <w:rPr>
          <w:rFonts w:eastAsia="新細明體" w:cs="Times New Roman"/>
          <w:lang w:val="fr-FR" w:eastAsia="zh-TW"/>
        </w:rPr>
      </w:pPr>
      <w:r>
        <w:rPr>
          <w:rStyle w:val="Marquenotebasdepage"/>
        </w:rPr>
        <w:footnoteRef/>
      </w:r>
      <w:r>
        <w:t xml:space="preserve"> </w:t>
      </w:r>
      <w:r w:rsidRPr="00A32DE2">
        <w:rPr>
          <w:i/>
          <w:lang w:val="fr-FR"/>
        </w:rPr>
        <w:t>Tang Ming lü hebian</w:t>
      </w:r>
      <w:r>
        <w:rPr>
          <w:lang w:val="fr-FR"/>
        </w:rPr>
        <w:t>, p. 88</w:t>
      </w:r>
      <w:r>
        <w:rPr>
          <w:rFonts w:eastAsia="新細明體" w:cs="Times New Roman"/>
          <w:lang w:val="fr-FR" w:eastAsia="zh-TW"/>
        </w:rPr>
        <w:t xml:space="preserve">, where Xue provides parts of the </w:t>
      </w:r>
      <w:r w:rsidRPr="00A32DE2">
        <w:rPr>
          <w:rFonts w:eastAsia="新細明體" w:cs="Times New Roman"/>
          <w:i/>
          <w:lang w:val="fr-FR" w:eastAsia="zh-TW"/>
        </w:rPr>
        <w:t>Shuyi</w:t>
      </w:r>
      <w:r>
        <w:rPr>
          <w:rFonts w:eastAsia="新細明體" w:cs="Times New Roman"/>
          <w:lang w:val="fr-FR" w:eastAsia="zh-TW"/>
        </w:rPr>
        <w:t xml:space="preserve">’s comments. For a complete translation of these comments, see Wallace Johnson, </w:t>
      </w:r>
      <w:r w:rsidRPr="00A32DE2">
        <w:rPr>
          <w:rFonts w:eastAsia="新細明體" w:cs="Times New Roman"/>
          <w:i/>
          <w:lang w:val="fr-FR" w:eastAsia="zh-TW"/>
        </w:rPr>
        <w:t>loc</w:t>
      </w:r>
      <w:r>
        <w:rPr>
          <w:rFonts w:eastAsia="新細明體" w:cs="Times New Roman"/>
          <w:lang w:val="fr-FR" w:eastAsia="zh-TW"/>
        </w:rPr>
        <w:t xml:space="preserve">. </w:t>
      </w:r>
      <w:r w:rsidRPr="00A32DE2">
        <w:rPr>
          <w:rFonts w:eastAsia="新細明體" w:cs="Times New Roman"/>
          <w:i/>
          <w:lang w:val="fr-FR" w:eastAsia="zh-TW"/>
        </w:rPr>
        <w:t>cit</w:t>
      </w:r>
      <w:r>
        <w:rPr>
          <w:rFonts w:eastAsia="新細明體" w:cs="Times New Roman"/>
          <w:lang w:val="fr-FR" w:eastAsia="zh-TW"/>
        </w:rPr>
        <w:t>.</w:t>
      </w:r>
    </w:p>
  </w:footnote>
  <w:footnote w:id="35">
    <w:p w14:paraId="6D87CE57" w14:textId="613024CF" w:rsidR="00AD6712" w:rsidRPr="00CA3D48" w:rsidRDefault="00AD6712">
      <w:pPr>
        <w:pStyle w:val="Notedebasdepage"/>
        <w:rPr>
          <w:lang w:val="fr-FR"/>
        </w:rPr>
      </w:pPr>
      <w:r>
        <w:rPr>
          <w:rStyle w:val="Marquenotebasdepage"/>
        </w:rPr>
        <w:footnoteRef/>
      </w:r>
      <w:r>
        <w:t xml:space="preserve"> </w:t>
      </w:r>
      <w:r>
        <w:rPr>
          <w:lang w:val="fr-FR"/>
        </w:rPr>
        <w:t xml:space="preserve">See Wallace Johnson, </w:t>
      </w:r>
      <w:r w:rsidRPr="00CA3D48">
        <w:rPr>
          <w:i/>
          <w:lang w:val="fr-FR"/>
        </w:rPr>
        <w:t>op</w:t>
      </w:r>
      <w:r>
        <w:rPr>
          <w:lang w:val="fr-FR"/>
        </w:rPr>
        <w:t xml:space="preserve">. </w:t>
      </w:r>
      <w:r w:rsidRPr="00CA3D48">
        <w:rPr>
          <w:i/>
          <w:lang w:val="fr-FR"/>
        </w:rPr>
        <w:t>cit</w:t>
      </w:r>
      <w:r>
        <w:rPr>
          <w:lang w:val="fr-FR"/>
        </w:rPr>
        <w:t>., p. 254.</w:t>
      </w:r>
    </w:p>
  </w:footnote>
  <w:footnote w:id="36">
    <w:p w14:paraId="3A4BD38D" w14:textId="11000FDF" w:rsidR="00AD6712" w:rsidRPr="00865515" w:rsidRDefault="00AD6712">
      <w:pPr>
        <w:pStyle w:val="Notedebasdepage"/>
        <w:rPr>
          <w:lang w:val="fr-FR"/>
        </w:rPr>
      </w:pPr>
      <w:r>
        <w:rPr>
          <w:rStyle w:val="Marquenotebasdepage"/>
        </w:rPr>
        <w:footnoteRef/>
      </w:r>
      <w:r>
        <w:t xml:space="preserve"> </w:t>
      </w:r>
      <w:r>
        <w:rPr>
          <w:lang w:val="fr-FR"/>
        </w:rPr>
        <w:t>Archeological finds, recent and less, have dug up a host of legal and administrative documents, some going as far back as the Former Han dynasty (206 BCE - 8 CE) at least. But to my knowledge, none has been considered as constituting an example of a complete legal and administrative code, of the likes of the Tang code and its successors.</w:t>
      </w:r>
    </w:p>
  </w:footnote>
  <w:footnote w:id="37">
    <w:p w14:paraId="02FB07DD" w14:textId="63710F75" w:rsidR="00AD6712" w:rsidRPr="00F42414" w:rsidRDefault="00AD6712">
      <w:pPr>
        <w:pStyle w:val="Notedebasdepage"/>
        <w:rPr>
          <w:lang w:val="fr-FR"/>
        </w:rPr>
      </w:pPr>
      <w:r>
        <w:rPr>
          <w:rStyle w:val="Marquenotebasdepage"/>
        </w:rPr>
        <w:footnoteRef/>
      </w:r>
      <w:r>
        <w:t xml:space="preserve"> </w:t>
      </w:r>
      <w:r>
        <w:rPr>
          <w:lang w:val="fr-FR"/>
        </w:rPr>
        <w:t>Neither statute 37 of the Ming code, nor statute 35 of the Qing code ever saw a substatute directly linked to them codified.</w:t>
      </w:r>
    </w:p>
  </w:footnote>
  <w:footnote w:id="38">
    <w:p w14:paraId="20B6A0B1" w14:textId="55ECC373" w:rsidR="00AD6712" w:rsidRPr="00607DFD" w:rsidRDefault="00AD6712">
      <w:pPr>
        <w:pStyle w:val="Notedebasdepage"/>
        <w:rPr>
          <w:lang w:val="fr-FR"/>
        </w:rPr>
      </w:pPr>
      <w:r>
        <w:rPr>
          <w:rStyle w:val="Marquenotebasdepage"/>
        </w:rPr>
        <w:footnoteRef/>
      </w:r>
      <w:r>
        <w:t xml:space="preserve"> For the complete text of Qing </w:t>
      </w:r>
      <w:r>
        <w:rPr>
          <w:lang w:val="fr-FR"/>
        </w:rPr>
        <w:t xml:space="preserve">statute 295 (as it appears in the 1740 edition of the Code), refer to </w:t>
      </w:r>
      <w:hyperlink r:id="rId2" w:history="1">
        <w:r w:rsidRPr="003F2E2A">
          <w:rPr>
            <w:rStyle w:val="Lienhypertexte"/>
            <w:lang w:val="fr-FR"/>
          </w:rPr>
          <w:t>http://lsc.chineselegalculture.org/eC/DQLL_1740/5.6.4.295</w:t>
        </w:r>
      </w:hyperlink>
      <w:r>
        <w:rPr>
          <w:lang w:val="fr-FR"/>
        </w:rPr>
        <w:t>. Hereafter, the links to specific statutes will similarly be based on the 1740 edition of the Code.</w:t>
      </w:r>
    </w:p>
  </w:footnote>
  <w:footnote w:id="39">
    <w:p w14:paraId="3F625802" w14:textId="68A178BE" w:rsidR="00AD6712" w:rsidRPr="00D11757" w:rsidRDefault="00AD6712">
      <w:pPr>
        <w:pStyle w:val="Notedebasdepage"/>
        <w:rPr>
          <w:lang w:val="fr-FR"/>
        </w:rPr>
      </w:pPr>
      <w:r>
        <w:rPr>
          <w:rStyle w:val="Marquenotebasdepage"/>
        </w:rPr>
        <w:footnoteRef/>
      </w:r>
      <w:r>
        <w:t xml:space="preserve"> </w:t>
      </w:r>
      <w:r>
        <w:rPr>
          <w:lang w:val="fr-FR"/>
        </w:rPr>
        <w:t xml:space="preserve">I follow here the information in Philastre, </w:t>
      </w:r>
      <w:r w:rsidRPr="00D11757">
        <w:rPr>
          <w:i/>
          <w:lang w:val="fr-FR"/>
        </w:rPr>
        <w:t>op</w:t>
      </w:r>
      <w:r>
        <w:rPr>
          <w:lang w:val="fr-FR"/>
        </w:rPr>
        <w:t xml:space="preserve">. </w:t>
      </w:r>
      <w:r w:rsidRPr="00D11757">
        <w:rPr>
          <w:i/>
          <w:lang w:val="fr-FR"/>
        </w:rPr>
        <w:t>cit</w:t>
      </w:r>
      <w:r>
        <w:rPr>
          <w:lang w:val="fr-FR"/>
        </w:rPr>
        <w:t>., p. 258, translating comments to the Qing code I have not yet been able to identify in the Chinese sources.</w:t>
      </w:r>
    </w:p>
  </w:footnote>
  <w:footnote w:id="40">
    <w:p w14:paraId="3AA8395A" w14:textId="280E5C20" w:rsidR="00AD6712" w:rsidRPr="00421A05" w:rsidRDefault="00AD6712" w:rsidP="00D65CAD">
      <w:pPr>
        <w:pStyle w:val="Notedebasdepage"/>
        <w:rPr>
          <w:lang w:val="fr-FR"/>
        </w:rPr>
      </w:pPr>
      <w:r>
        <w:rPr>
          <w:rStyle w:val="Marquenotebasdepage"/>
        </w:rPr>
        <w:footnoteRef/>
      </w:r>
      <w:r>
        <w:t xml:space="preserve"> </w:t>
      </w:r>
      <w:r>
        <w:rPr>
          <w:lang w:val="fr-FR"/>
        </w:rPr>
        <w:t xml:space="preserve">This statute appears at rank 25 in the Ming code. For the complete text of the Qing version, refer to </w:t>
      </w:r>
      <w:hyperlink r:id="rId3" w:history="1">
        <w:r w:rsidRPr="003F2E2A">
          <w:rPr>
            <w:rStyle w:val="Lienhypertexte"/>
            <w:lang w:val="fr-FR"/>
          </w:rPr>
          <w:t>http://lsc.chineselegalculture.org/eC/DQLL_1740/5.1.2.26</w:t>
        </w:r>
      </w:hyperlink>
      <w:r>
        <w:rPr>
          <w:lang w:val="fr-FR"/>
        </w:rPr>
        <w:t xml:space="preserve">. As a reminder, paragraph two of the </w:t>
      </w:r>
      <w:r w:rsidRPr="00D65CAD">
        <w:rPr>
          <w:i/>
          <w:lang w:val="fr-FR"/>
        </w:rPr>
        <w:t>Bentiao bie you zuiming</w:t>
      </w:r>
      <w:r>
        <w:rPr>
          <w:lang w:val="fr-FR"/>
        </w:rPr>
        <w:t xml:space="preserve"> statute asserts </w:t>
      </w:r>
      <w:r>
        <w:rPr>
          <w:rFonts w:eastAsia="新細明體" w:cs="Times New Roman"/>
          <w:lang w:val="fr-FR" w:eastAsia="zh-TW"/>
        </w:rPr>
        <w:t>that if a wrongdoing was committed in order to avoid indictment for another more serious one, the sentence must follow the provisions for the most serious.</w:t>
      </w:r>
    </w:p>
  </w:footnote>
  <w:footnote w:id="41">
    <w:p w14:paraId="2E2622A8" w14:textId="74A4D7DA" w:rsidR="00AD6712" w:rsidRPr="00325E42" w:rsidRDefault="00AD6712">
      <w:pPr>
        <w:pStyle w:val="Notedebasdepage"/>
        <w:rPr>
          <w:lang w:val="fr-FR"/>
        </w:rPr>
      </w:pPr>
      <w:r>
        <w:rPr>
          <w:rStyle w:val="Marquenotebasdepage"/>
        </w:rPr>
        <w:footnoteRef/>
      </w:r>
      <w:r>
        <w:t xml:space="preserve"> For example, </w:t>
      </w:r>
      <w:r>
        <w:rPr>
          <w:rFonts w:eastAsia="新細明體" w:cs="Times New Roman"/>
          <w:lang w:val="fr-FR" w:eastAsia="zh-TW"/>
        </w:rPr>
        <w:t>in the case the two (or more) crimes were of similar seriousness, the sentence was to be edicted only according to the provisions for one of the two. And if the culprit had already been sentenced for a crime at the time of the discovery of another one, more serious, he committed, the magistrates were not to simply add the adequate punishment for the second crime to the first conviction, but were required to balance the new sentence by taking into account the first punishment already meted out.</w:t>
      </w:r>
    </w:p>
  </w:footnote>
  <w:footnote w:id="42">
    <w:p w14:paraId="741A3A75" w14:textId="681FABB1" w:rsidR="00AD6712" w:rsidRPr="00D36653" w:rsidRDefault="00AD6712">
      <w:pPr>
        <w:pStyle w:val="Notedebasdepage"/>
        <w:rPr>
          <w:lang w:val="fr-FR"/>
        </w:rPr>
      </w:pPr>
      <w:r>
        <w:rPr>
          <w:rStyle w:val="Marquenotebasdepage"/>
        </w:rPr>
        <w:footnoteRef/>
      </w:r>
      <w:r>
        <w:t xml:space="preserve"> As always, it would be interesting to </w:t>
      </w:r>
      <w:r>
        <w:rPr>
          <w:lang w:val="fr-FR"/>
        </w:rPr>
        <w:t>further investigate whether this principle was actually upheld in practice.</w:t>
      </w:r>
    </w:p>
  </w:footnote>
  <w:footnote w:id="43">
    <w:p w14:paraId="281B48A2" w14:textId="10A5B9E9" w:rsidR="00AD6712" w:rsidRPr="00D36653" w:rsidRDefault="00AD6712" w:rsidP="00277E6A">
      <w:pPr>
        <w:pStyle w:val="Notedebasdepage"/>
        <w:rPr>
          <w:lang w:val="fr-FR"/>
        </w:rPr>
      </w:pPr>
      <w:r>
        <w:rPr>
          <w:rStyle w:val="Marquenotebasdepage"/>
        </w:rPr>
        <w:footnoteRef/>
      </w:r>
      <w:r>
        <w:t xml:space="preserve"> </w:t>
      </w:r>
      <w:r>
        <w:rPr>
          <w:lang w:val="fr-FR"/>
        </w:rPr>
        <w:t xml:space="preserve">See Philastre, </w:t>
      </w:r>
      <w:r w:rsidRPr="00277E6A">
        <w:rPr>
          <w:i/>
          <w:lang w:val="fr-FR"/>
        </w:rPr>
        <w:t>op</w:t>
      </w:r>
      <w:r>
        <w:rPr>
          <w:lang w:val="fr-FR"/>
        </w:rPr>
        <w:t xml:space="preserve">. </w:t>
      </w:r>
      <w:r w:rsidRPr="00277E6A">
        <w:rPr>
          <w:i/>
          <w:lang w:val="fr-FR"/>
        </w:rPr>
        <w:t>cit</w:t>
      </w:r>
      <w:r>
        <w:rPr>
          <w:lang w:val="fr-FR"/>
        </w:rPr>
        <w:t>., p. 258.</w:t>
      </w:r>
    </w:p>
  </w:footnote>
  <w:footnote w:id="44">
    <w:p w14:paraId="440C28B3" w14:textId="38F965C4" w:rsidR="00AD6712" w:rsidRPr="00277E6A" w:rsidRDefault="00AD6712">
      <w:pPr>
        <w:pStyle w:val="Notedebasdepage"/>
        <w:rPr>
          <w:lang w:val="fr-FR"/>
        </w:rPr>
      </w:pPr>
      <w:r>
        <w:rPr>
          <w:rStyle w:val="Marquenotebasdepage"/>
        </w:rPr>
        <w:footnoteRef/>
      </w:r>
      <w:r>
        <w:t xml:space="preserve"> </w:t>
      </w:r>
      <w:r>
        <w:rPr>
          <w:lang w:val="fr-FR"/>
        </w:rPr>
        <w:t xml:space="preserve">I borrow the translation to Jiang Yonglin (in the Ming code, this staute apperas at rank 22). For the text of the statute, see </w:t>
      </w:r>
      <w:hyperlink r:id="rId4" w:history="1">
        <w:r w:rsidRPr="00DD6216">
          <w:rPr>
            <w:rStyle w:val="Lienhypertexte"/>
            <w:lang w:val="fr-FR"/>
          </w:rPr>
          <w:t>http://lsc.chineselegalculture.org/eC/DQLL_1740/5.1.2.23</w:t>
        </w:r>
      </w:hyperlink>
      <w:r>
        <w:rPr>
          <w:lang w:val="fr-FR"/>
        </w:rPr>
        <w:t>.</w:t>
      </w:r>
    </w:p>
  </w:footnote>
  <w:footnote w:id="45">
    <w:p w14:paraId="0B5E8A81" w14:textId="42B70018" w:rsidR="00AD6712" w:rsidRPr="00CA70C1" w:rsidRDefault="00AD6712">
      <w:pPr>
        <w:pStyle w:val="Notedebasdepage"/>
        <w:rPr>
          <w:lang w:val="fr-FR"/>
        </w:rPr>
      </w:pPr>
      <w:r>
        <w:rPr>
          <w:rStyle w:val="Marquenotebasdepage"/>
        </w:rPr>
        <w:footnoteRef/>
      </w:r>
      <w:r>
        <w:t xml:space="preserve"> </w:t>
      </w:r>
      <w:r>
        <w:rPr>
          <w:lang w:val="fr-FR"/>
        </w:rPr>
        <w:t xml:space="preserve">Here again, I brrow the translation from Jiang Yonglin (the statute is ranked 21 in the Ming code). For the statute itself, see </w:t>
      </w:r>
      <w:hyperlink r:id="rId5" w:history="1">
        <w:r w:rsidRPr="00DD6216">
          <w:rPr>
            <w:rStyle w:val="Lienhypertexte"/>
            <w:lang w:val="fr-FR"/>
          </w:rPr>
          <w:t>http://lsc.chineselegalculture.org/eC/DQLL_1740/5.1.2.22</w:t>
        </w:r>
      </w:hyperlink>
      <w:r>
        <w:rPr>
          <w:lang w:val="fr-FR"/>
        </w:rPr>
        <w:t>.</w:t>
      </w:r>
    </w:p>
  </w:footnote>
  <w:footnote w:id="46">
    <w:p w14:paraId="1C7FA95D" w14:textId="7E415AC5" w:rsidR="00AD6712" w:rsidRPr="00381474" w:rsidRDefault="00AD6712">
      <w:pPr>
        <w:pStyle w:val="Notedebasdepage"/>
        <w:rPr>
          <w:lang w:val="fr-FR"/>
        </w:rPr>
      </w:pPr>
      <w:r>
        <w:rPr>
          <w:rStyle w:val="Marquenotebasdepage"/>
        </w:rPr>
        <w:footnoteRef/>
      </w:r>
      <w:r>
        <w:t xml:space="preserve"> </w:t>
      </w:r>
      <w:r>
        <w:rPr>
          <w:lang w:val="fr-FR"/>
        </w:rPr>
        <w:t>See the last interlinear note of statute 22.</w:t>
      </w:r>
    </w:p>
  </w:footnote>
  <w:footnote w:id="47">
    <w:p w14:paraId="59154899" w14:textId="6D1FA84B" w:rsidR="00AD6712" w:rsidRPr="00D50EC3" w:rsidRDefault="00AD6712">
      <w:pPr>
        <w:pStyle w:val="Notedebasdepage"/>
        <w:rPr>
          <w:lang w:val="fr-FR"/>
        </w:rPr>
      </w:pPr>
      <w:r>
        <w:rPr>
          <w:rStyle w:val="Marquenotebasdepage"/>
        </w:rPr>
        <w:footnoteRef/>
      </w:r>
      <w:r>
        <w:t xml:space="preserve"> </w:t>
      </w:r>
      <w:r>
        <w:rPr>
          <w:lang w:val="fr-FR"/>
        </w:rPr>
        <w:t xml:space="preserve">See </w:t>
      </w:r>
      <w:hyperlink r:id="rId6" w:history="1">
        <w:r w:rsidRPr="00786473">
          <w:rPr>
            <w:rStyle w:val="Lienhypertexte"/>
            <w:lang w:val="fr-FR"/>
          </w:rPr>
          <w:t>http://lsc.chineselegalculture.org/eC/DQLL_1740/5.6.4.292</w:t>
        </w:r>
      </w:hyperlink>
      <w:r>
        <w:rPr>
          <w:lang w:val="fr-FR"/>
        </w:rPr>
        <w:t>.</w:t>
      </w:r>
    </w:p>
  </w:footnote>
  <w:footnote w:id="48">
    <w:p w14:paraId="67D89D82" w14:textId="4B0FADD4" w:rsidR="00AD6712" w:rsidRPr="007A28E5" w:rsidRDefault="00AD6712">
      <w:pPr>
        <w:pStyle w:val="Notedebasdepage"/>
        <w:rPr>
          <w:lang w:val="fr-FR"/>
        </w:rPr>
      </w:pPr>
      <w:r>
        <w:rPr>
          <w:rStyle w:val="Marquenotebasdepage"/>
        </w:rPr>
        <w:footnoteRef/>
      </w:r>
      <w:r>
        <w:t xml:space="preserve"> </w:t>
      </w:r>
      <w:r>
        <w:rPr>
          <w:lang w:val="fr-FR"/>
        </w:rPr>
        <w:t xml:space="preserve">See Jiang Yonglin, </w:t>
      </w:r>
      <w:r w:rsidRPr="007A28E5">
        <w:rPr>
          <w:i/>
          <w:lang w:val="fr-FR"/>
        </w:rPr>
        <w:t>op</w:t>
      </w:r>
      <w:r>
        <w:rPr>
          <w:lang w:val="fr-FR"/>
        </w:rPr>
        <w:t xml:space="preserve">. </w:t>
      </w:r>
      <w:r w:rsidRPr="007A28E5">
        <w:rPr>
          <w:i/>
          <w:lang w:val="fr-FR"/>
        </w:rPr>
        <w:t>cit</w:t>
      </w:r>
      <w:r>
        <w:rPr>
          <w:lang w:val="fr-FR"/>
        </w:rPr>
        <w:t xml:space="preserve">., p. lxii for example. I prefer to use negligent here, in part because I think it fits better with the types of crimes included in this category, and because I use unintentional to render </w:t>
      </w:r>
      <w:r w:rsidRPr="007A28E5">
        <w:rPr>
          <w:i/>
          <w:lang w:val="fr-FR"/>
        </w:rPr>
        <w:t>guoshi</w:t>
      </w:r>
      <w:r>
        <w:rPr>
          <w:lang w:val="fr-FR"/>
        </w:rPr>
        <w:t xml:space="preserve">. Both terms, </w:t>
      </w:r>
      <w:r w:rsidRPr="007A28E5">
        <w:rPr>
          <w:i/>
          <w:lang w:val="fr-FR"/>
        </w:rPr>
        <w:t>wu</w:t>
      </w:r>
      <w:r>
        <w:rPr>
          <w:lang w:val="fr-FR"/>
        </w:rPr>
        <w:t xml:space="preserve"> and </w:t>
      </w:r>
      <w:r w:rsidRPr="007A28E5">
        <w:rPr>
          <w:i/>
          <w:lang w:val="fr-FR"/>
        </w:rPr>
        <w:t>guoshi</w:t>
      </w:r>
      <w:r>
        <w:rPr>
          <w:lang w:val="fr-FR"/>
        </w:rPr>
        <w:t>, are semantically very close, conveying the meaning of “error”, “mistake”. Also see L. Gabbiani, art. cit., p. 131-134.</w:t>
      </w:r>
    </w:p>
  </w:footnote>
  <w:footnote w:id="49">
    <w:p w14:paraId="0D224972" w14:textId="23C23DDE" w:rsidR="00AD6712" w:rsidRPr="00237F03" w:rsidRDefault="00AD6712">
      <w:pPr>
        <w:pStyle w:val="Notedebasdepage"/>
        <w:rPr>
          <w:lang w:val="fr-FR"/>
        </w:rPr>
      </w:pPr>
      <w:r>
        <w:rPr>
          <w:rStyle w:val="Marquenotebasdepage"/>
        </w:rPr>
        <w:footnoteRef/>
      </w:r>
      <w:r>
        <w:t xml:space="preserve"> </w:t>
      </w:r>
      <w:r>
        <w:rPr>
          <w:lang w:val="fr-FR"/>
        </w:rPr>
        <w:t xml:space="preserve">The </w:t>
      </w:r>
      <w:r w:rsidRPr="00237F03">
        <w:rPr>
          <w:i/>
          <w:lang w:val="fr-FR"/>
        </w:rPr>
        <w:t>locus classicus</w:t>
      </w:r>
      <w:r>
        <w:rPr>
          <w:lang w:val="fr-FR"/>
        </w:rPr>
        <w:t xml:space="preserve"> for such cases is as follows: a son preparing tea burns himself while pouring the boiling water, thus letting go of the teapot, which breaks on the ground: the mother, rushing over from another room to see what happened, slips on the puddle of water, cuts herself on a shard and dies some days later from an infection. See Françoise Lauwaert, </w:t>
      </w:r>
      <w:r w:rsidRPr="00613DC2">
        <w:rPr>
          <w:i/>
          <w:lang w:val="fr-FR"/>
        </w:rPr>
        <w:t>Le meurtre en famille. Parricide et infanticide en Chine (XVIII</w:t>
      </w:r>
      <w:r w:rsidRPr="00613DC2">
        <w:rPr>
          <w:i/>
          <w:vertAlign w:val="superscript"/>
          <w:lang w:val="fr-FR"/>
        </w:rPr>
        <w:t>e</w:t>
      </w:r>
      <w:r w:rsidRPr="00613DC2">
        <w:rPr>
          <w:i/>
          <w:lang w:val="fr-FR"/>
        </w:rPr>
        <w:t>-XIX</w:t>
      </w:r>
      <w:r w:rsidRPr="00613DC2">
        <w:rPr>
          <w:i/>
          <w:vertAlign w:val="superscript"/>
          <w:lang w:val="fr-FR"/>
        </w:rPr>
        <w:t>e</w:t>
      </w:r>
      <w:r w:rsidRPr="00613DC2">
        <w:rPr>
          <w:i/>
          <w:lang w:val="fr-FR"/>
        </w:rPr>
        <w:t xml:space="preserve"> siècles)</w:t>
      </w:r>
      <w:r>
        <w:rPr>
          <w:lang w:val="fr-FR"/>
        </w:rPr>
        <w:t>, Paris, Editions Odile Jacob, 1999, p. 176-177.</w:t>
      </w:r>
    </w:p>
  </w:footnote>
  <w:footnote w:id="50">
    <w:p w14:paraId="4FCA40F1" w14:textId="2675EEC9" w:rsidR="00AD6712" w:rsidRPr="00136678" w:rsidRDefault="00AD6712">
      <w:pPr>
        <w:pStyle w:val="Notedebasdepage"/>
        <w:rPr>
          <w:lang w:val="fr-FR"/>
        </w:rPr>
      </w:pPr>
      <w:r>
        <w:rPr>
          <w:rStyle w:val="Marquenotebasdepage"/>
        </w:rPr>
        <w:footnoteRef/>
      </w:r>
      <w:r>
        <w:t xml:space="preserve"> </w:t>
      </w:r>
      <w:r>
        <w:rPr>
          <w:lang w:val="fr-FR"/>
        </w:rPr>
        <w:t>Archival holdings include Palace memorials (</w:t>
      </w:r>
      <w:r w:rsidRPr="0003711A">
        <w:rPr>
          <w:i/>
          <w:lang w:val="fr-FR"/>
        </w:rPr>
        <w:t>zhupi zouzhe</w:t>
      </w:r>
      <w:r>
        <w:rPr>
          <w:lang w:val="fr-FR"/>
        </w:rPr>
        <w:t xml:space="preserve"> </w:t>
      </w:r>
      <w:r>
        <w:rPr>
          <w:rFonts w:ascii="新細明體" w:eastAsia="新細明體" w:hAnsi="新細明體" w:cs="新細明體" w:hint="eastAsia"/>
          <w:lang w:val="fr-FR" w:eastAsia="zh-TW"/>
        </w:rPr>
        <w:t>硃批奏摺</w:t>
      </w:r>
      <w:r>
        <w:rPr>
          <w:lang w:val="fr-FR"/>
        </w:rPr>
        <w:t>), copies of Palace memorials by the Grand Council (</w:t>
      </w:r>
      <w:r w:rsidRPr="0003711A">
        <w:rPr>
          <w:i/>
          <w:lang w:val="fr-FR"/>
        </w:rPr>
        <w:t>lufu zouzhe</w:t>
      </w:r>
      <w:r>
        <w:rPr>
          <w:lang w:val="fr-FR"/>
        </w:rPr>
        <w:t xml:space="preserve"> </w:t>
      </w:r>
      <w:r>
        <w:rPr>
          <w:rFonts w:ascii="新細明體" w:eastAsia="新細明體" w:hAnsi="新細明體" w:cs="新細明體" w:hint="eastAsia"/>
          <w:lang w:val="fr-FR" w:eastAsia="zh-TW"/>
        </w:rPr>
        <w:t>錄副奏摺</w:t>
      </w:r>
      <w:r>
        <w:rPr>
          <w:lang w:val="fr-FR"/>
        </w:rPr>
        <w:t xml:space="preserve">) and the holding of memorials by the Jilin general (Jilin jiangjun </w:t>
      </w:r>
      <w:r>
        <w:rPr>
          <w:rFonts w:ascii="新細明體" w:eastAsia="新細明體" w:hAnsi="新細明體" w:cs="新細明體" w:hint="eastAsia"/>
          <w:lang w:val="fr-FR" w:eastAsia="zh-TW"/>
        </w:rPr>
        <w:t>吉林將軍</w:t>
      </w:r>
      <w:r>
        <w:rPr>
          <w:lang w:val="fr-FR"/>
        </w:rPr>
        <w:t xml:space="preserve">). All are held in the Number One Archives in Beijng (Di yi lishi dang’anguan </w:t>
      </w:r>
      <w:r>
        <w:rPr>
          <w:rFonts w:ascii="新細明體" w:eastAsia="新細明體" w:hAnsi="新細明體" w:cs="新細明體" w:hint="eastAsia"/>
          <w:lang w:val="fr-FR" w:eastAsia="zh-TW"/>
        </w:rPr>
        <w:t>第一歷史檔案館</w:t>
      </w:r>
      <w:r>
        <w:rPr>
          <w:lang w:val="fr-FR"/>
        </w:rPr>
        <w:t xml:space="preserve">). As for case collections, I have resorted to compendiae of </w:t>
      </w:r>
      <w:r w:rsidRPr="0003711A">
        <w:rPr>
          <w:i/>
          <w:lang w:val="fr-FR"/>
        </w:rPr>
        <w:t>shuotie</w:t>
      </w:r>
      <w:r>
        <w:rPr>
          <w:lang w:val="fr-FR"/>
        </w:rPr>
        <w:t xml:space="preserve"> (</w:t>
      </w:r>
      <w:r>
        <w:rPr>
          <w:rFonts w:ascii="新細明體" w:eastAsia="新細明體" w:hAnsi="新細明體" w:cs="新細明體" w:hint="eastAsia"/>
          <w:lang w:val="fr-FR" w:eastAsia="zh-TW"/>
        </w:rPr>
        <w:t>說帖</w:t>
      </w:r>
      <w:r>
        <w:rPr>
          <w:lang w:val="fr-FR"/>
        </w:rPr>
        <w:t xml:space="preserve">) as well as more classic case collections, such as the </w:t>
      </w:r>
      <w:r w:rsidRPr="0003711A">
        <w:rPr>
          <w:i/>
          <w:lang w:val="fr-FR"/>
        </w:rPr>
        <w:t>Xing’an huilan</w:t>
      </w:r>
      <w:r>
        <w:rPr>
          <w:lang w:val="fr-FR"/>
        </w:rPr>
        <w:t xml:space="preserve"> </w:t>
      </w:r>
      <w:r>
        <w:rPr>
          <w:rFonts w:ascii="新細明體" w:eastAsia="新細明體" w:hAnsi="新細明體" w:cs="新細明體" w:hint="eastAsia"/>
          <w:lang w:val="fr-FR" w:eastAsia="zh-TW"/>
        </w:rPr>
        <w:t>刑案匯覽</w:t>
      </w:r>
      <w:r>
        <w:rPr>
          <w:lang w:val="fr-FR"/>
        </w:rPr>
        <w:t xml:space="preserve"> or the </w:t>
      </w:r>
      <w:r w:rsidRPr="0003711A">
        <w:rPr>
          <w:i/>
          <w:lang w:val="fr-FR"/>
        </w:rPr>
        <w:t>Cheng’an zhiyi</w:t>
      </w:r>
      <w:r>
        <w:rPr>
          <w:lang w:val="fr-FR"/>
        </w:rPr>
        <w:t xml:space="preserve"> </w:t>
      </w:r>
      <w:r>
        <w:rPr>
          <w:rFonts w:ascii="新細明體" w:eastAsia="新細明體" w:hAnsi="新細明體" w:cs="新細明體" w:hint="eastAsia"/>
          <w:lang w:val="fr-FR" w:eastAsia="zh-TW"/>
        </w:rPr>
        <w:t>成案質疑</w:t>
      </w:r>
      <w:r>
        <w:rPr>
          <w:lang w:val="fr-FR"/>
        </w:rPr>
        <w:t>.</w:t>
      </w:r>
    </w:p>
  </w:footnote>
  <w:footnote w:id="51">
    <w:p w14:paraId="24224C1B" w14:textId="55D89656" w:rsidR="00AD6712" w:rsidRPr="00304A38" w:rsidRDefault="00AD6712">
      <w:pPr>
        <w:pStyle w:val="Notedebasdepage"/>
        <w:rPr>
          <w:lang w:val="fr-FR"/>
        </w:rPr>
      </w:pPr>
      <w:r>
        <w:rPr>
          <w:rStyle w:val="Marquenotebasdepage"/>
        </w:rPr>
        <w:footnoteRef/>
      </w:r>
      <w:r>
        <w:t xml:space="preserve"> </w:t>
      </w:r>
      <w:r>
        <w:rPr>
          <w:lang w:val="fr-FR"/>
        </w:rPr>
        <w:t xml:space="preserve">See </w:t>
      </w:r>
      <w:r w:rsidRPr="00304A38">
        <w:rPr>
          <w:i/>
          <w:lang w:val="fr-FR"/>
        </w:rPr>
        <w:t>Xing’an huilan</w:t>
      </w:r>
      <w:r>
        <w:rPr>
          <w:lang w:val="fr-FR"/>
        </w:rPr>
        <w:t xml:space="preserve"> (Beijing, Falü chubanshe reed., 2006), </w:t>
      </w:r>
      <w:r w:rsidRPr="00304A38">
        <w:rPr>
          <w:i/>
          <w:lang w:val="fr-FR"/>
        </w:rPr>
        <w:t>j</w:t>
      </w:r>
      <w:r>
        <w:rPr>
          <w:lang w:val="fr-FR"/>
        </w:rPr>
        <w:t xml:space="preserve">. 6, p. 397-398. It was drawn from a Ministry pf Punishment </w:t>
      </w:r>
      <w:r w:rsidRPr="00304A38">
        <w:rPr>
          <w:i/>
          <w:lang w:val="fr-FR"/>
        </w:rPr>
        <w:t>shuotie</w:t>
      </w:r>
      <w:r>
        <w:rPr>
          <w:lang w:val="fr-FR"/>
        </w:rPr>
        <w:t>, dated 1811.</w:t>
      </w:r>
    </w:p>
  </w:footnote>
  <w:footnote w:id="52">
    <w:p w14:paraId="5D39756C" w14:textId="067A62D7" w:rsidR="00AD6712" w:rsidRPr="007676BC" w:rsidRDefault="00AD6712">
      <w:pPr>
        <w:pStyle w:val="Notedebasdepage"/>
        <w:rPr>
          <w:rFonts w:eastAsia="新細明體" w:cs="Times New Roman"/>
          <w:lang w:val="fr-FR" w:eastAsia="zh-TW"/>
        </w:rPr>
      </w:pPr>
      <w:r>
        <w:rPr>
          <w:rStyle w:val="Marquenotebasdepage"/>
        </w:rPr>
        <w:footnoteRef/>
      </w:r>
      <w:r>
        <w:t xml:space="preserve"> </w:t>
      </w:r>
      <w:r>
        <w:rPr>
          <w:lang w:val="fr-FR"/>
        </w:rPr>
        <w:t xml:space="preserve">This affair actually gave rise to a series of infractions during the adjudication process, which led to false testimonies and finally to the death in jail of two of the persons convicted, Ma Diancheng and an individual named </w:t>
      </w:r>
      <w:r>
        <w:rPr>
          <w:rFonts w:ascii="新細明體" w:eastAsia="新細明體" w:hAnsi="新細明體" w:cs="新細明體" w:hint="eastAsia"/>
          <w:lang w:val="fr-FR" w:eastAsia="zh-TW"/>
        </w:rPr>
        <w:t>孫得潮</w:t>
      </w:r>
      <w:r>
        <w:rPr>
          <w:rFonts w:eastAsia="新細明體" w:cs="Times New Roman"/>
          <w:lang w:val="fr-FR" w:eastAsia="zh-TW"/>
        </w:rPr>
        <w:t>. Since the details of this affair are not utterly important here, I let the interested reader turn to the original source for more information.</w:t>
      </w:r>
    </w:p>
  </w:footnote>
  <w:footnote w:id="53">
    <w:p w14:paraId="1971AC2A" w14:textId="6DF0851A" w:rsidR="00AD6712" w:rsidRPr="00EE461B" w:rsidRDefault="00AD6712">
      <w:pPr>
        <w:pStyle w:val="Notedebasdepage"/>
        <w:rPr>
          <w:lang w:val="fr-FR"/>
        </w:rPr>
      </w:pPr>
      <w:r>
        <w:rPr>
          <w:rStyle w:val="Marquenotebasdepage"/>
        </w:rPr>
        <w:footnoteRef/>
      </w:r>
      <w:r>
        <w:t xml:space="preserve"> </w:t>
      </w:r>
      <w:r w:rsidRPr="00037BE5">
        <w:rPr>
          <w:i/>
          <w:lang w:val="fr-FR"/>
        </w:rPr>
        <w:t>Xing’an huilan</w:t>
      </w:r>
      <w:r>
        <w:rPr>
          <w:lang w:val="fr-FR"/>
        </w:rPr>
        <w:t xml:space="preserve">, </w:t>
      </w:r>
      <w:r w:rsidRPr="00037BE5">
        <w:rPr>
          <w:i/>
          <w:lang w:val="fr-FR"/>
        </w:rPr>
        <w:t>loc</w:t>
      </w:r>
      <w:r>
        <w:rPr>
          <w:lang w:val="fr-FR"/>
        </w:rPr>
        <w:t xml:space="preserve">. </w:t>
      </w:r>
      <w:r w:rsidRPr="00037BE5">
        <w:rPr>
          <w:i/>
          <w:lang w:val="fr-FR"/>
        </w:rPr>
        <w:t>cit</w:t>
      </w:r>
      <w:r>
        <w:rPr>
          <w:lang w:val="fr-FR"/>
        </w:rPr>
        <w:t xml:space="preserve">., p. 395. The blind man was condemned receiving thirty blows of the small stick (chi </w:t>
      </w:r>
      <w:r>
        <w:rPr>
          <w:rFonts w:ascii="新細明體" w:eastAsia="新細明體" w:hAnsi="新細明體" w:cs="新細明體" w:hint="eastAsia"/>
          <w:lang w:val="fr-FR" w:eastAsia="zh-TW"/>
        </w:rPr>
        <w:t>笞</w:t>
      </w:r>
      <w:r>
        <w:rPr>
          <w:lang w:val="fr-FR"/>
        </w:rPr>
        <w:t>). We are not told if, as suggested by statute 22 on disabled committing crimes, he was able to redeem is punishment.</w:t>
      </w:r>
    </w:p>
  </w:footnote>
  <w:footnote w:id="54">
    <w:p w14:paraId="696B0C10" w14:textId="001BA53D" w:rsidR="00AD6712" w:rsidRPr="007F727B" w:rsidRDefault="00AD6712">
      <w:pPr>
        <w:pStyle w:val="Notedebasdepage"/>
        <w:rPr>
          <w:lang w:val="fr-FR"/>
        </w:rPr>
      </w:pPr>
      <w:r>
        <w:rPr>
          <w:rStyle w:val="Marquenotebasdepage"/>
        </w:rPr>
        <w:footnoteRef/>
      </w:r>
      <w:r>
        <w:t xml:space="preserve"> </w:t>
      </w:r>
      <w:r w:rsidRPr="007F727B">
        <w:rPr>
          <w:i/>
          <w:lang w:val="fr-FR"/>
        </w:rPr>
        <w:t>Ibid</w:t>
      </w:r>
      <w:r>
        <w:rPr>
          <w:lang w:val="fr-FR"/>
        </w:rPr>
        <w:t xml:space="preserve">., p. 395-397. See also Dai Guoyuan </w:t>
      </w:r>
      <w:r>
        <w:rPr>
          <w:rFonts w:ascii="新細明體" w:eastAsia="新細明體" w:hAnsi="新細明體" w:cs="新細明體" w:hint="eastAsia"/>
          <w:lang w:val="fr-FR" w:eastAsia="zh-TW"/>
        </w:rPr>
        <w:t>戴郭元</w:t>
      </w:r>
      <w:r>
        <w:rPr>
          <w:lang w:val="fr-FR"/>
        </w:rPr>
        <w:t xml:space="preserve"> (comp.), </w:t>
      </w:r>
      <w:r w:rsidRPr="007F727B">
        <w:rPr>
          <w:i/>
          <w:lang w:val="fr-FR"/>
        </w:rPr>
        <w:t>Xinzuan Xingbu shuotie leibian</w:t>
      </w:r>
      <w:r w:rsidRPr="007F727B">
        <w:rPr>
          <w:lang w:val="fr-FR"/>
        </w:rPr>
        <w:t xml:space="preserve"> </w:t>
      </w:r>
      <w:r>
        <w:rPr>
          <w:rFonts w:ascii="新細明體" w:eastAsia="新細明體" w:hAnsi="新細明體" w:cs="新細明體" w:hint="eastAsia"/>
          <w:lang w:val="fr-FR" w:eastAsia="zh-TW"/>
        </w:rPr>
        <w:t>新纂刑部說帖類編</w:t>
      </w:r>
      <w:r>
        <w:rPr>
          <w:lang w:val="fr-FR"/>
        </w:rPr>
        <w:t xml:space="preserve">, </w:t>
      </w:r>
      <w:r w:rsidRPr="007F727B">
        <w:rPr>
          <w:i/>
          <w:lang w:val="fr-FR"/>
        </w:rPr>
        <w:t>j</w:t>
      </w:r>
      <w:r>
        <w:rPr>
          <w:lang w:val="fr-FR"/>
        </w:rPr>
        <w:t>. 5, p. 39a-41b. The governor based his claim about the family connection on the fact that the principal public officier involved had actually hired his underling, a relation he thus compared to that of a master and his apprentice (or dependent).</w:t>
      </w:r>
    </w:p>
  </w:footnote>
  <w:footnote w:id="55">
    <w:p w14:paraId="3F5D3D0C" w14:textId="672E2E5B" w:rsidR="00AD6712" w:rsidRPr="009E475E" w:rsidRDefault="00AD6712">
      <w:pPr>
        <w:pStyle w:val="Notedebasdepage"/>
        <w:rPr>
          <w:lang w:val="fr-FR"/>
        </w:rPr>
      </w:pPr>
      <w:r>
        <w:rPr>
          <w:rStyle w:val="Marquenotebasdepage"/>
        </w:rPr>
        <w:footnoteRef/>
      </w:r>
      <w:r>
        <w:t xml:space="preserve"> </w:t>
      </w:r>
      <w:r>
        <w:rPr>
          <w:lang w:val="fr-FR"/>
        </w:rPr>
        <w:t xml:space="preserve">See </w:t>
      </w:r>
      <w:r w:rsidRPr="009E475E">
        <w:rPr>
          <w:i/>
          <w:lang w:val="fr-FR"/>
        </w:rPr>
        <w:t>Xing’an huilan</w:t>
      </w:r>
      <w:r>
        <w:rPr>
          <w:lang w:val="fr-FR"/>
        </w:rPr>
        <w:t xml:space="preserve">, </w:t>
      </w:r>
      <w:r w:rsidRPr="009E475E">
        <w:rPr>
          <w:i/>
          <w:lang w:val="fr-FR"/>
        </w:rPr>
        <w:t>loc</w:t>
      </w:r>
      <w:r>
        <w:rPr>
          <w:lang w:val="fr-FR"/>
        </w:rPr>
        <w:t xml:space="preserve">. </w:t>
      </w:r>
      <w:r w:rsidRPr="009E475E">
        <w:rPr>
          <w:i/>
          <w:lang w:val="fr-FR"/>
        </w:rPr>
        <w:t>cit</w:t>
      </w:r>
      <w:r>
        <w:rPr>
          <w:lang w:val="fr-FR"/>
        </w:rPr>
        <w:t>., p. 395.</w:t>
      </w:r>
    </w:p>
  </w:footnote>
  <w:footnote w:id="56">
    <w:p w14:paraId="5D1C9F04" w14:textId="24BA69E8" w:rsidR="00AD6712" w:rsidRPr="00580BFC" w:rsidRDefault="00AD6712">
      <w:pPr>
        <w:pStyle w:val="Notedebasdepage"/>
        <w:rPr>
          <w:lang w:val="fr-FR"/>
        </w:rPr>
      </w:pPr>
      <w:r>
        <w:rPr>
          <w:rStyle w:val="Marquenotebasdepage"/>
        </w:rPr>
        <w:footnoteRef/>
      </w:r>
      <w:r>
        <w:t xml:space="preserve"> </w:t>
      </w:r>
      <w:r>
        <w:rPr>
          <w:lang w:val="fr-FR"/>
        </w:rPr>
        <w:t xml:space="preserve">See </w:t>
      </w:r>
      <w:r w:rsidRPr="00580BFC">
        <w:rPr>
          <w:i/>
          <w:lang w:val="fr-FR"/>
        </w:rPr>
        <w:t>Cheng’an zhiyi</w:t>
      </w:r>
      <w:r>
        <w:rPr>
          <w:lang w:val="fr-FR"/>
        </w:rPr>
        <w:t xml:space="preserve">, </w:t>
      </w:r>
      <w:r w:rsidRPr="00580BFC">
        <w:rPr>
          <w:i/>
          <w:lang w:val="fr-FR"/>
        </w:rPr>
        <w:t>j</w:t>
      </w:r>
      <w:r>
        <w:rPr>
          <w:lang w:val="fr-FR"/>
        </w:rPr>
        <w:t>. 1, “</w:t>
      </w:r>
      <w:r w:rsidRPr="00580BFC">
        <w:rPr>
          <w:lang w:val="fr-FR"/>
        </w:rPr>
        <w:t>Bentiao bie you zuiming</w:t>
      </w:r>
      <w:r>
        <w:rPr>
          <w:lang w:val="fr-FR"/>
        </w:rPr>
        <w:t>”, p. 1ab.</w:t>
      </w:r>
    </w:p>
  </w:footnote>
  <w:footnote w:id="57">
    <w:p w14:paraId="580DFB2A" w14:textId="7159DFCB" w:rsidR="00AD6712" w:rsidRPr="00BE5261" w:rsidRDefault="00AD6712">
      <w:pPr>
        <w:pStyle w:val="Notedebasdepage"/>
        <w:rPr>
          <w:lang w:val="fr-FR"/>
        </w:rPr>
      </w:pPr>
      <w:r>
        <w:rPr>
          <w:rStyle w:val="Marquenotebasdepage"/>
        </w:rPr>
        <w:footnoteRef/>
      </w:r>
      <w:r>
        <w:t xml:space="preserve"> </w:t>
      </w:r>
      <w:r>
        <w:rPr>
          <w:lang w:val="fr-FR"/>
        </w:rPr>
        <w:t>See L. Gabbiani, art. cit., p. 117-123.</w:t>
      </w:r>
    </w:p>
  </w:footnote>
  <w:footnote w:id="58">
    <w:p w14:paraId="2437EDC0" w14:textId="5896D99B" w:rsidR="00AD6712" w:rsidRPr="00AF32C2" w:rsidRDefault="00AD6712">
      <w:pPr>
        <w:pStyle w:val="Notedebasdepage"/>
        <w:rPr>
          <w:lang w:val="fr-FR"/>
        </w:rPr>
      </w:pPr>
      <w:r>
        <w:rPr>
          <w:rStyle w:val="Marquenotebasdepage"/>
        </w:rPr>
        <w:footnoteRef/>
      </w:r>
      <w:r>
        <w:t xml:space="preserve"> </w:t>
      </w:r>
      <w:r>
        <w:rPr>
          <w:lang w:val="fr-FR"/>
        </w:rPr>
        <w:t xml:space="preserve">See </w:t>
      </w:r>
      <w:r w:rsidRPr="00AF32C2">
        <w:rPr>
          <w:i/>
          <w:lang w:val="fr-FR"/>
        </w:rPr>
        <w:t>Bo’an xinbian</w:t>
      </w:r>
      <w:r>
        <w:rPr>
          <w:lang w:val="fr-FR"/>
        </w:rPr>
        <w:t xml:space="preserve"> </w:t>
      </w:r>
      <w:r>
        <w:rPr>
          <w:rFonts w:ascii="新細明體" w:eastAsia="新細明體" w:hAnsi="新細明體" w:cs="新細明體" w:hint="eastAsia"/>
          <w:lang w:val="fr-FR" w:eastAsia="zh-TW"/>
        </w:rPr>
        <w:t>駁案新編</w:t>
      </w:r>
      <w:r>
        <w:rPr>
          <w:lang w:val="fr-FR"/>
        </w:rPr>
        <w:t xml:space="preserve">, </w:t>
      </w:r>
      <w:r w:rsidRPr="00AF32C2">
        <w:rPr>
          <w:i/>
          <w:lang w:val="fr-FR"/>
        </w:rPr>
        <w:t>j</w:t>
      </w:r>
      <w:r>
        <w:rPr>
          <w:lang w:val="fr-FR"/>
        </w:rPr>
        <w:t>. 3, p. 12a-15b.</w:t>
      </w:r>
    </w:p>
  </w:footnote>
  <w:footnote w:id="59">
    <w:p w14:paraId="73061630" w14:textId="32031F8C" w:rsidR="00AD6712" w:rsidRPr="00C360DD" w:rsidRDefault="00AD6712">
      <w:pPr>
        <w:pStyle w:val="Notedebasdepage"/>
        <w:rPr>
          <w:lang w:val="fr-FR"/>
        </w:rPr>
      </w:pPr>
      <w:r>
        <w:rPr>
          <w:rStyle w:val="Marquenotebasdepage"/>
        </w:rPr>
        <w:footnoteRef/>
      </w:r>
      <w:r>
        <w:t xml:space="preserve"> </w:t>
      </w:r>
      <w:r>
        <w:rPr>
          <w:lang w:val="fr-FR"/>
        </w:rPr>
        <w:t xml:space="preserve">See respectively Min Wobei </w:t>
      </w:r>
      <w:r>
        <w:rPr>
          <w:rFonts w:ascii="新細明體" w:eastAsia="新細明體" w:hAnsi="新細明體" w:cs="新細明體" w:hint="eastAsia"/>
          <w:lang w:val="fr-FR" w:eastAsia="zh-TW"/>
        </w:rPr>
        <w:t>閔我備</w:t>
      </w:r>
      <w:r>
        <w:rPr>
          <w:lang w:val="fr-FR"/>
        </w:rPr>
        <w:t xml:space="preserve"> (comp.), </w:t>
      </w:r>
      <w:r w:rsidRPr="00C360DD">
        <w:rPr>
          <w:i/>
          <w:lang w:val="fr-FR"/>
        </w:rPr>
        <w:t>Cheng’an xinbian erji</w:t>
      </w:r>
      <w:r>
        <w:rPr>
          <w:lang w:val="fr-FR"/>
        </w:rPr>
        <w:t xml:space="preserve"> </w:t>
      </w:r>
      <w:r>
        <w:rPr>
          <w:rFonts w:ascii="新細明體" w:eastAsia="新細明體" w:hAnsi="新細明體" w:cs="新細明體" w:hint="eastAsia"/>
          <w:lang w:val="fr-FR" w:eastAsia="zh-TW"/>
        </w:rPr>
        <w:t>成案新編二集</w:t>
      </w:r>
      <w:r>
        <w:rPr>
          <w:rFonts w:eastAsia="新細明體" w:cs="Times New Roman"/>
          <w:lang w:val="fr-FR" w:eastAsia="zh-TW"/>
        </w:rPr>
        <w:t xml:space="preserve">, QL 28 edition, </w:t>
      </w:r>
      <w:r w:rsidRPr="00C360DD">
        <w:rPr>
          <w:rFonts w:eastAsia="新細明體" w:cs="Times New Roman"/>
          <w:i/>
          <w:lang w:val="fr-FR" w:eastAsia="zh-TW"/>
        </w:rPr>
        <w:t>j</w:t>
      </w:r>
      <w:r>
        <w:rPr>
          <w:rFonts w:eastAsia="新細明體" w:cs="Times New Roman"/>
          <w:lang w:val="fr-FR" w:eastAsia="zh-TW"/>
        </w:rPr>
        <w:t xml:space="preserve">. 2, p. 77a-78b ; </w:t>
      </w:r>
      <w:r w:rsidRPr="00C360DD">
        <w:rPr>
          <w:rFonts w:eastAsia="新細明體" w:cs="Times New Roman"/>
          <w:i/>
          <w:lang w:val="fr-FR" w:eastAsia="zh-TW"/>
        </w:rPr>
        <w:t>Bo’an xinbian</w:t>
      </w:r>
      <w:r>
        <w:rPr>
          <w:rFonts w:eastAsia="新細明體" w:cs="Times New Roman"/>
          <w:lang w:val="fr-FR" w:eastAsia="zh-TW"/>
        </w:rPr>
        <w:t>, loc. cit., p. 7a-11b.</w:t>
      </w:r>
    </w:p>
  </w:footnote>
  <w:footnote w:id="60">
    <w:p w14:paraId="125F3664" w14:textId="20EC5322" w:rsidR="00AD6712" w:rsidRPr="00742C49" w:rsidRDefault="00AD6712">
      <w:pPr>
        <w:pStyle w:val="Notedebasdepage"/>
        <w:rPr>
          <w:lang w:val="fr-FR"/>
        </w:rPr>
      </w:pPr>
      <w:r>
        <w:rPr>
          <w:rStyle w:val="Marquenotebasdepage"/>
        </w:rPr>
        <w:footnoteRef/>
      </w:r>
      <w:r>
        <w:t xml:space="preserve"> </w:t>
      </w:r>
      <w:r>
        <w:rPr>
          <w:lang w:val="fr-FR"/>
        </w:rPr>
        <w:t xml:space="preserve">See </w:t>
      </w:r>
      <w:r w:rsidRPr="00742C49">
        <w:rPr>
          <w:i/>
          <w:lang w:val="fr-FR"/>
        </w:rPr>
        <w:t>j</w:t>
      </w:r>
      <w:r>
        <w:rPr>
          <w:lang w:val="fr-FR"/>
        </w:rPr>
        <w:t>. 34, p. 1a-5b.</w:t>
      </w:r>
    </w:p>
  </w:footnote>
  <w:footnote w:id="61">
    <w:p w14:paraId="510C996E" w14:textId="15E2B2DE" w:rsidR="00AD6712" w:rsidRPr="008D0131" w:rsidRDefault="00AD6712">
      <w:pPr>
        <w:pStyle w:val="Notedebasdepage"/>
        <w:rPr>
          <w:lang w:val="fr-FR"/>
        </w:rPr>
      </w:pPr>
      <w:r>
        <w:rPr>
          <w:rStyle w:val="Marquenotebasdepage"/>
        </w:rPr>
        <w:footnoteRef/>
      </w:r>
      <w:r>
        <w:t xml:space="preserve"> </w:t>
      </w:r>
      <w:r w:rsidRPr="004144D4">
        <w:rPr>
          <w:i/>
          <w:lang w:val="fr-FR"/>
        </w:rPr>
        <w:t>Ibid</w:t>
      </w:r>
      <w:r>
        <w:rPr>
          <w:lang w:val="fr-FR"/>
        </w:rPr>
        <w:t>., p. 4ab.</w:t>
      </w:r>
    </w:p>
  </w:footnote>
  <w:footnote w:id="62">
    <w:p w14:paraId="372360ED" w14:textId="27AD7B36" w:rsidR="00AD6712" w:rsidRPr="004144D4" w:rsidRDefault="00AD6712">
      <w:pPr>
        <w:pStyle w:val="Notedebasdepage"/>
        <w:rPr>
          <w:lang w:val="fr-FR"/>
        </w:rPr>
      </w:pPr>
      <w:r>
        <w:rPr>
          <w:rStyle w:val="Marquenotebasdepage"/>
        </w:rPr>
        <w:footnoteRef/>
      </w:r>
      <w:r>
        <w:t xml:space="preserve"> </w:t>
      </w:r>
      <w:r>
        <w:rPr>
          <w:i/>
          <w:lang w:val="fr-FR"/>
        </w:rPr>
        <w:t>I</w:t>
      </w:r>
      <w:r w:rsidRPr="004144D4">
        <w:rPr>
          <w:i/>
          <w:lang w:val="fr-FR"/>
        </w:rPr>
        <w:t>bid</w:t>
      </w:r>
      <w:r>
        <w:rPr>
          <w:lang w:val="fr-FR"/>
        </w:rPr>
        <w:t>., p. 4a.</w:t>
      </w:r>
    </w:p>
  </w:footnote>
  <w:footnote w:id="63">
    <w:p w14:paraId="5F4393BD" w14:textId="3F57BAC4" w:rsidR="00AD6712" w:rsidRPr="00C67D75" w:rsidRDefault="00AD6712">
      <w:pPr>
        <w:pStyle w:val="Notedebasdepage"/>
        <w:rPr>
          <w:lang w:val="fr-FR"/>
        </w:rPr>
      </w:pPr>
      <w:r>
        <w:rPr>
          <w:rStyle w:val="Marquenotebasdepage"/>
        </w:rPr>
        <w:footnoteRef/>
      </w:r>
      <w:r>
        <w:t xml:space="preserve"> </w:t>
      </w:r>
      <w:r>
        <w:rPr>
          <w:lang w:val="fr-FR"/>
        </w:rPr>
        <w:t>See memorial 03-3903-034, dated DG 26.5.1 ; memorial 04-01-26-0074-035, dated TZ 4.7.29 ; memorial 04-01-26-0079-053, dated GX 21.4.13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C6"/>
    <w:rsid w:val="000320D8"/>
    <w:rsid w:val="0003711A"/>
    <w:rsid w:val="00037B2F"/>
    <w:rsid w:val="00037BE5"/>
    <w:rsid w:val="00071217"/>
    <w:rsid w:val="00080E44"/>
    <w:rsid w:val="000855E9"/>
    <w:rsid w:val="000913A5"/>
    <w:rsid w:val="0009203C"/>
    <w:rsid w:val="000977F9"/>
    <w:rsid w:val="000B5B25"/>
    <w:rsid w:val="000C7088"/>
    <w:rsid w:val="000E4D70"/>
    <w:rsid w:val="0010389B"/>
    <w:rsid w:val="00124C3A"/>
    <w:rsid w:val="001365B3"/>
    <w:rsid w:val="00136678"/>
    <w:rsid w:val="00146C90"/>
    <w:rsid w:val="001528D1"/>
    <w:rsid w:val="00191846"/>
    <w:rsid w:val="001A4D43"/>
    <w:rsid w:val="001B197F"/>
    <w:rsid w:val="001C6EAC"/>
    <w:rsid w:val="00200943"/>
    <w:rsid w:val="002061F5"/>
    <w:rsid w:val="00234383"/>
    <w:rsid w:val="0023715B"/>
    <w:rsid w:val="00237F03"/>
    <w:rsid w:val="00243E20"/>
    <w:rsid w:val="00257417"/>
    <w:rsid w:val="00270E64"/>
    <w:rsid w:val="002713B4"/>
    <w:rsid w:val="00272D26"/>
    <w:rsid w:val="00277E6A"/>
    <w:rsid w:val="00280819"/>
    <w:rsid w:val="002820A7"/>
    <w:rsid w:val="00283F60"/>
    <w:rsid w:val="002878C2"/>
    <w:rsid w:val="0029555E"/>
    <w:rsid w:val="002B5002"/>
    <w:rsid w:val="002D4735"/>
    <w:rsid w:val="002F5F10"/>
    <w:rsid w:val="00304A38"/>
    <w:rsid w:val="00312498"/>
    <w:rsid w:val="00325E42"/>
    <w:rsid w:val="0034263E"/>
    <w:rsid w:val="00372F6A"/>
    <w:rsid w:val="00381474"/>
    <w:rsid w:val="00393A25"/>
    <w:rsid w:val="0039474E"/>
    <w:rsid w:val="003A0532"/>
    <w:rsid w:val="003A2BE4"/>
    <w:rsid w:val="003B1E84"/>
    <w:rsid w:val="003D4B32"/>
    <w:rsid w:val="003D5415"/>
    <w:rsid w:val="003E5125"/>
    <w:rsid w:val="003E768D"/>
    <w:rsid w:val="003E7E31"/>
    <w:rsid w:val="003F5E42"/>
    <w:rsid w:val="003F76E4"/>
    <w:rsid w:val="00404AAA"/>
    <w:rsid w:val="004144D4"/>
    <w:rsid w:val="0041508E"/>
    <w:rsid w:val="00421A05"/>
    <w:rsid w:val="00422AC3"/>
    <w:rsid w:val="00423EDE"/>
    <w:rsid w:val="00433D1A"/>
    <w:rsid w:val="00434C95"/>
    <w:rsid w:val="00450EBD"/>
    <w:rsid w:val="00474CAC"/>
    <w:rsid w:val="00477527"/>
    <w:rsid w:val="00480FD5"/>
    <w:rsid w:val="00484223"/>
    <w:rsid w:val="00485D42"/>
    <w:rsid w:val="00497391"/>
    <w:rsid w:val="004A2639"/>
    <w:rsid w:val="004A3F42"/>
    <w:rsid w:val="004A3FA2"/>
    <w:rsid w:val="004C3723"/>
    <w:rsid w:val="004E0D8D"/>
    <w:rsid w:val="00505CC6"/>
    <w:rsid w:val="005329AB"/>
    <w:rsid w:val="00540184"/>
    <w:rsid w:val="00546B3D"/>
    <w:rsid w:val="00546BD0"/>
    <w:rsid w:val="00554FBB"/>
    <w:rsid w:val="00580A4C"/>
    <w:rsid w:val="00580BFC"/>
    <w:rsid w:val="00594367"/>
    <w:rsid w:val="005A252C"/>
    <w:rsid w:val="005B6ABB"/>
    <w:rsid w:val="005C49BF"/>
    <w:rsid w:val="005C7951"/>
    <w:rsid w:val="005D3470"/>
    <w:rsid w:val="005D4A11"/>
    <w:rsid w:val="005D5C9E"/>
    <w:rsid w:val="005E662C"/>
    <w:rsid w:val="005F04A7"/>
    <w:rsid w:val="00607DFD"/>
    <w:rsid w:val="00613DC2"/>
    <w:rsid w:val="00625DB2"/>
    <w:rsid w:val="006277BF"/>
    <w:rsid w:val="00631FE5"/>
    <w:rsid w:val="00652D6E"/>
    <w:rsid w:val="00665580"/>
    <w:rsid w:val="0067164C"/>
    <w:rsid w:val="0067439D"/>
    <w:rsid w:val="006A0B14"/>
    <w:rsid w:val="006A3598"/>
    <w:rsid w:val="006A7048"/>
    <w:rsid w:val="006B1016"/>
    <w:rsid w:val="006B2EDA"/>
    <w:rsid w:val="006B3011"/>
    <w:rsid w:val="006B6270"/>
    <w:rsid w:val="006C7943"/>
    <w:rsid w:val="006D4E4C"/>
    <w:rsid w:val="006D710B"/>
    <w:rsid w:val="006F7896"/>
    <w:rsid w:val="00703E50"/>
    <w:rsid w:val="00710353"/>
    <w:rsid w:val="00713D6C"/>
    <w:rsid w:val="007143C9"/>
    <w:rsid w:val="0071644A"/>
    <w:rsid w:val="00721C21"/>
    <w:rsid w:val="00742C49"/>
    <w:rsid w:val="00742E8C"/>
    <w:rsid w:val="00753959"/>
    <w:rsid w:val="00754900"/>
    <w:rsid w:val="00757171"/>
    <w:rsid w:val="00762758"/>
    <w:rsid w:val="00763821"/>
    <w:rsid w:val="00765E6C"/>
    <w:rsid w:val="007676BC"/>
    <w:rsid w:val="007721C8"/>
    <w:rsid w:val="007845EB"/>
    <w:rsid w:val="00792819"/>
    <w:rsid w:val="00796707"/>
    <w:rsid w:val="007A28E5"/>
    <w:rsid w:val="007A6CB0"/>
    <w:rsid w:val="007A7DDD"/>
    <w:rsid w:val="007B6188"/>
    <w:rsid w:val="007D4245"/>
    <w:rsid w:val="007D4579"/>
    <w:rsid w:val="007D4CB5"/>
    <w:rsid w:val="007E3C73"/>
    <w:rsid w:val="007E7E0E"/>
    <w:rsid w:val="007F4018"/>
    <w:rsid w:val="007F5A3C"/>
    <w:rsid w:val="007F727B"/>
    <w:rsid w:val="008009AC"/>
    <w:rsid w:val="0080392B"/>
    <w:rsid w:val="00811BE8"/>
    <w:rsid w:val="008150B7"/>
    <w:rsid w:val="00820352"/>
    <w:rsid w:val="00820E70"/>
    <w:rsid w:val="008347E1"/>
    <w:rsid w:val="00847C12"/>
    <w:rsid w:val="00865515"/>
    <w:rsid w:val="00872A17"/>
    <w:rsid w:val="00886068"/>
    <w:rsid w:val="00893C8A"/>
    <w:rsid w:val="008A3D03"/>
    <w:rsid w:val="008A7E59"/>
    <w:rsid w:val="008B600A"/>
    <w:rsid w:val="008C0A6B"/>
    <w:rsid w:val="008D0131"/>
    <w:rsid w:val="008D0132"/>
    <w:rsid w:val="008E7B8B"/>
    <w:rsid w:val="008F3270"/>
    <w:rsid w:val="00904BFC"/>
    <w:rsid w:val="0091622C"/>
    <w:rsid w:val="00920274"/>
    <w:rsid w:val="00941C3C"/>
    <w:rsid w:val="00954097"/>
    <w:rsid w:val="00962D34"/>
    <w:rsid w:val="00986FA6"/>
    <w:rsid w:val="00991897"/>
    <w:rsid w:val="00992FC0"/>
    <w:rsid w:val="009954EB"/>
    <w:rsid w:val="009A51C5"/>
    <w:rsid w:val="009A5546"/>
    <w:rsid w:val="009B295A"/>
    <w:rsid w:val="009B55FE"/>
    <w:rsid w:val="009C0AFD"/>
    <w:rsid w:val="009C3279"/>
    <w:rsid w:val="009D1BF2"/>
    <w:rsid w:val="009E475E"/>
    <w:rsid w:val="009F7ECA"/>
    <w:rsid w:val="00A03752"/>
    <w:rsid w:val="00A10530"/>
    <w:rsid w:val="00A242AD"/>
    <w:rsid w:val="00A269DA"/>
    <w:rsid w:val="00A32DE2"/>
    <w:rsid w:val="00A33AD8"/>
    <w:rsid w:val="00A34E29"/>
    <w:rsid w:val="00A45FE3"/>
    <w:rsid w:val="00A57D56"/>
    <w:rsid w:val="00A638A9"/>
    <w:rsid w:val="00A63F29"/>
    <w:rsid w:val="00A642E7"/>
    <w:rsid w:val="00A81A86"/>
    <w:rsid w:val="00A83080"/>
    <w:rsid w:val="00A87ECD"/>
    <w:rsid w:val="00A912D0"/>
    <w:rsid w:val="00A939FF"/>
    <w:rsid w:val="00AC20C2"/>
    <w:rsid w:val="00AC4B3B"/>
    <w:rsid w:val="00AC541C"/>
    <w:rsid w:val="00AC6672"/>
    <w:rsid w:val="00AD3625"/>
    <w:rsid w:val="00AD6712"/>
    <w:rsid w:val="00AE3645"/>
    <w:rsid w:val="00AF1CAE"/>
    <w:rsid w:val="00AF2F24"/>
    <w:rsid w:val="00AF32C2"/>
    <w:rsid w:val="00B00C23"/>
    <w:rsid w:val="00B051F6"/>
    <w:rsid w:val="00B06E97"/>
    <w:rsid w:val="00B1413D"/>
    <w:rsid w:val="00B14D1F"/>
    <w:rsid w:val="00B268AF"/>
    <w:rsid w:val="00B339B0"/>
    <w:rsid w:val="00B63E80"/>
    <w:rsid w:val="00B9129B"/>
    <w:rsid w:val="00B91A2A"/>
    <w:rsid w:val="00B9369E"/>
    <w:rsid w:val="00B96A8A"/>
    <w:rsid w:val="00B96FDB"/>
    <w:rsid w:val="00BA0A0C"/>
    <w:rsid w:val="00BB2D3B"/>
    <w:rsid w:val="00BB2DAB"/>
    <w:rsid w:val="00BB4D90"/>
    <w:rsid w:val="00BC34B2"/>
    <w:rsid w:val="00BD4755"/>
    <w:rsid w:val="00BE3CBD"/>
    <w:rsid w:val="00BE5261"/>
    <w:rsid w:val="00C043DC"/>
    <w:rsid w:val="00C05FDE"/>
    <w:rsid w:val="00C12876"/>
    <w:rsid w:val="00C15785"/>
    <w:rsid w:val="00C17436"/>
    <w:rsid w:val="00C354A2"/>
    <w:rsid w:val="00C360DD"/>
    <w:rsid w:val="00C4174F"/>
    <w:rsid w:val="00C43C96"/>
    <w:rsid w:val="00C458CF"/>
    <w:rsid w:val="00C66CD8"/>
    <w:rsid w:val="00C67D75"/>
    <w:rsid w:val="00C840CB"/>
    <w:rsid w:val="00C9133E"/>
    <w:rsid w:val="00C93436"/>
    <w:rsid w:val="00CA3D48"/>
    <w:rsid w:val="00CA6EEB"/>
    <w:rsid w:val="00CA70C1"/>
    <w:rsid w:val="00CB327D"/>
    <w:rsid w:val="00CB7296"/>
    <w:rsid w:val="00CC73D0"/>
    <w:rsid w:val="00CD730E"/>
    <w:rsid w:val="00CE3DAB"/>
    <w:rsid w:val="00CF097C"/>
    <w:rsid w:val="00D11757"/>
    <w:rsid w:val="00D15AFE"/>
    <w:rsid w:val="00D201FE"/>
    <w:rsid w:val="00D21566"/>
    <w:rsid w:val="00D278D4"/>
    <w:rsid w:val="00D32B0F"/>
    <w:rsid w:val="00D35083"/>
    <w:rsid w:val="00D36623"/>
    <w:rsid w:val="00D36653"/>
    <w:rsid w:val="00D4263B"/>
    <w:rsid w:val="00D42DB9"/>
    <w:rsid w:val="00D50EC3"/>
    <w:rsid w:val="00D52AA4"/>
    <w:rsid w:val="00D65CAD"/>
    <w:rsid w:val="00D65D7C"/>
    <w:rsid w:val="00D65F5D"/>
    <w:rsid w:val="00D708F0"/>
    <w:rsid w:val="00D777AE"/>
    <w:rsid w:val="00D804C4"/>
    <w:rsid w:val="00D8147F"/>
    <w:rsid w:val="00D81650"/>
    <w:rsid w:val="00D82B10"/>
    <w:rsid w:val="00D8355D"/>
    <w:rsid w:val="00DA41EA"/>
    <w:rsid w:val="00DA73A5"/>
    <w:rsid w:val="00DB11F1"/>
    <w:rsid w:val="00DB13F4"/>
    <w:rsid w:val="00DB51ED"/>
    <w:rsid w:val="00DB6F70"/>
    <w:rsid w:val="00DC1C19"/>
    <w:rsid w:val="00DC31F9"/>
    <w:rsid w:val="00DD1BC7"/>
    <w:rsid w:val="00DD6BC7"/>
    <w:rsid w:val="00DD7F74"/>
    <w:rsid w:val="00E0463B"/>
    <w:rsid w:val="00E0586C"/>
    <w:rsid w:val="00E1599E"/>
    <w:rsid w:val="00E17925"/>
    <w:rsid w:val="00E22232"/>
    <w:rsid w:val="00E3057D"/>
    <w:rsid w:val="00E57B89"/>
    <w:rsid w:val="00E62880"/>
    <w:rsid w:val="00E7081A"/>
    <w:rsid w:val="00E727BA"/>
    <w:rsid w:val="00E7353A"/>
    <w:rsid w:val="00E84CDC"/>
    <w:rsid w:val="00E91C8B"/>
    <w:rsid w:val="00E96B1B"/>
    <w:rsid w:val="00EA1191"/>
    <w:rsid w:val="00EA1F9C"/>
    <w:rsid w:val="00EA3994"/>
    <w:rsid w:val="00EA4F47"/>
    <w:rsid w:val="00EA75E8"/>
    <w:rsid w:val="00EA769E"/>
    <w:rsid w:val="00EB5599"/>
    <w:rsid w:val="00EC2639"/>
    <w:rsid w:val="00EC37CA"/>
    <w:rsid w:val="00EC4314"/>
    <w:rsid w:val="00ED527E"/>
    <w:rsid w:val="00EE461B"/>
    <w:rsid w:val="00EE4E1D"/>
    <w:rsid w:val="00F04122"/>
    <w:rsid w:val="00F246F6"/>
    <w:rsid w:val="00F3059B"/>
    <w:rsid w:val="00F42414"/>
    <w:rsid w:val="00F42741"/>
    <w:rsid w:val="00F479FD"/>
    <w:rsid w:val="00F53C06"/>
    <w:rsid w:val="00F54F3F"/>
    <w:rsid w:val="00F56A9C"/>
    <w:rsid w:val="00F615C1"/>
    <w:rsid w:val="00F72665"/>
    <w:rsid w:val="00F82720"/>
    <w:rsid w:val="00F83ACA"/>
    <w:rsid w:val="00F857D4"/>
    <w:rsid w:val="00F869F0"/>
    <w:rsid w:val="00FA3B6C"/>
    <w:rsid w:val="00FB3C02"/>
    <w:rsid w:val="00FE3111"/>
    <w:rsid w:val="00FE54D5"/>
    <w:rsid w:val="00FF247A"/>
    <w:rsid w:val="00FF32BB"/>
    <w:rsid w:val="00FF40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CF7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27"/>
    <w:rPr>
      <w:rFonts w:ascii="Times New Roman" w:hAnsi="Times New Roman"/>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57D56"/>
    <w:rPr>
      <w:sz w:val="20"/>
    </w:rPr>
  </w:style>
  <w:style w:type="character" w:customStyle="1" w:styleId="NotedebasdepageCar">
    <w:name w:val="Note de bas de page Car"/>
    <w:basedOn w:val="Policepardfaut"/>
    <w:link w:val="Notedebasdepage"/>
    <w:uiPriority w:val="99"/>
    <w:rsid w:val="00A57D56"/>
    <w:rPr>
      <w:rFonts w:ascii="Times New Roman" w:hAnsi="Times New Roman"/>
      <w:sz w:val="20"/>
      <w:lang w:val="en-GB"/>
    </w:rPr>
  </w:style>
  <w:style w:type="character" w:styleId="Marquenotebasdepage">
    <w:name w:val="footnote reference"/>
    <w:basedOn w:val="Policepardfaut"/>
    <w:uiPriority w:val="99"/>
    <w:unhideWhenUsed/>
    <w:rsid w:val="008D0132"/>
    <w:rPr>
      <w:vertAlign w:val="superscript"/>
    </w:rPr>
  </w:style>
  <w:style w:type="character" w:styleId="Lienhypertexte">
    <w:name w:val="Hyperlink"/>
    <w:basedOn w:val="Policepardfaut"/>
    <w:uiPriority w:val="99"/>
    <w:unhideWhenUsed/>
    <w:rsid w:val="007F5A3C"/>
    <w:rPr>
      <w:color w:val="0000FF" w:themeColor="hyperlink"/>
      <w:u w:val="single"/>
    </w:rPr>
  </w:style>
  <w:style w:type="paragraph" w:styleId="Pieddepage">
    <w:name w:val="footer"/>
    <w:basedOn w:val="Normal"/>
    <w:link w:val="PieddepageCar"/>
    <w:uiPriority w:val="99"/>
    <w:unhideWhenUsed/>
    <w:rsid w:val="00AD6712"/>
    <w:pPr>
      <w:tabs>
        <w:tab w:val="center" w:pos="4536"/>
        <w:tab w:val="right" w:pos="9072"/>
      </w:tabs>
    </w:pPr>
  </w:style>
  <w:style w:type="character" w:customStyle="1" w:styleId="PieddepageCar">
    <w:name w:val="Pied de page Car"/>
    <w:basedOn w:val="Policepardfaut"/>
    <w:link w:val="Pieddepage"/>
    <w:uiPriority w:val="99"/>
    <w:rsid w:val="00AD6712"/>
    <w:rPr>
      <w:rFonts w:ascii="Times New Roman" w:hAnsi="Times New Roman"/>
      <w:noProof/>
      <w:lang w:val="en-GB"/>
    </w:rPr>
  </w:style>
  <w:style w:type="character" w:styleId="Numrodepage">
    <w:name w:val="page number"/>
    <w:basedOn w:val="Policepardfaut"/>
    <w:uiPriority w:val="99"/>
    <w:semiHidden/>
    <w:unhideWhenUsed/>
    <w:rsid w:val="00AD67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27"/>
    <w:rPr>
      <w:rFonts w:ascii="Times New Roman" w:hAnsi="Times New Roman"/>
      <w:noProof/>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57D56"/>
    <w:rPr>
      <w:sz w:val="20"/>
    </w:rPr>
  </w:style>
  <w:style w:type="character" w:customStyle="1" w:styleId="NotedebasdepageCar">
    <w:name w:val="Note de bas de page Car"/>
    <w:basedOn w:val="Policepardfaut"/>
    <w:link w:val="Notedebasdepage"/>
    <w:uiPriority w:val="99"/>
    <w:rsid w:val="00A57D56"/>
    <w:rPr>
      <w:rFonts w:ascii="Times New Roman" w:hAnsi="Times New Roman"/>
      <w:sz w:val="20"/>
      <w:lang w:val="en-GB"/>
    </w:rPr>
  </w:style>
  <w:style w:type="character" w:styleId="Marquenotebasdepage">
    <w:name w:val="footnote reference"/>
    <w:basedOn w:val="Policepardfaut"/>
    <w:uiPriority w:val="99"/>
    <w:unhideWhenUsed/>
    <w:rsid w:val="008D0132"/>
    <w:rPr>
      <w:vertAlign w:val="superscript"/>
    </w:rPr>
  </w:style>
  <w:style w:type="character" w:styleId="Lienhypertexte">
    <w:name w:val="Hyperlink"/>
    <w:basedOn w:val="Policepardfaut"/>
    <w:uiPriority w:val="99"/>
    <w:unhideWhenUsed/>
    <w:rsid w:val="007F5A3C"/>
    <w:rPr>
      <w:color w:val="0000FF" w:themeColor="hyperlink"/>
      <w:u w:val="single"/>
    </w:rPr>
  </w:style>
  <w:style w:type="paragraph" w:styleId="Pieddepage">
    <w:name w:val="footer"/>
    <w:basedOn w:val="Normal"/>
    <w:link w:val="PieddepageCar"/>
    <w:uiPriority w:val="99"/>
    <w:unhideWhenUsed/>
    <w:rsid w:val="00AD6712"/>
    <w:pPr>
      <w:tabs>
        <w:tab w:val="center" w:pos="4536"/>
        <w:tab w:val="right" w:pos="9072"/>
      </w:tabs>
    </w:pPr>
  </w:style>
  <w:style w:type="character" w:customStyle="1" w:styleId="PieddepageCar">
    <w:name w:val="Pied de page Car"/>
    <w:basedOn w:val="Policepardfaut"/>
    <w:link w:val="Pieddepage"/>
    <w:uiPriority w:val="99"/>
    <w:rsid w:val="00AD6712"/>
    <w:rPr>
      <w:rFonts w:ascii="Times New Roman" w:hAnsi="Times New Roman"/>
      <w:noProof/>
      <w:lang w:val="en-GB"/>
    </w:rPr>
  </w:style>
  <w:style w:type="character" w:styleId="Numrodepage">
    <w:name w:val="page number"/>
    <w:basedOn w:val="Policepardfaut"/>
    <w:uiPriority w:val="99"/>
    <w:semiHidden/>
    <w:unhideWhenUsed/>
    <w:rsid w:val="00AD6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lsc.chineselegalculture.org/eC/DQLL_1740/5.1.2.26" TargetMode="External"/><Relationship Id="rId4" Type="http://schemas.openxmlformats.org/officeDocument/2006/relationships/hyperlink" Target="http://lsc.chineselegalculture.org/eC/DQLL_1740/5.1.2.23" TargetMode="External"/><Relationship Id="rId5" Type="http://schemas.openxmlformats.org/officeDocument/2006/relationships/hyperlink" Target="http://lsc.chineselegalculture.org/eC/DQLL_1740/5.1.2.22" TargetMode="External"/><Relationship Id="rId6" Type="http://schemas.openxmlformats.org/officeDocument/2006/relationships/hyperlink" Target="http://lsc.chineselegalculture.org/eC/DQLL_1740/5.6.4.292" TargetMode="External"/><Relationship Id="rId1" Type="http://schemas.openxmlformats.org/officeDocument/2006/relationships/hyperlink" Target="http://www.lsc.chineselegalculture.org" TargetMode="External"/><Relationship Id="rId2" Type="http://schemas.openxmlformats.org/officeDocument/2006/relationships/hyperlink" Target="http://lsc.chineselegalculture.org/eC/DQLL_1740/5.6.4.29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C89A-4BBE-2F43-81F7-67DDF559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4278</TotalTime>
  <Pages>17</Pages>
  <Words>8637</Words>
  <Characters>47508</Characters>
  <Application>Microsoft Macintosh Word</Application>
  <DocSecurity>0</DocSecurity>
  <Lines>395</Lines>
  <Paragraphs>112</Paragraphs>
  <ScaleCrop>false</ScaleCrop>
  <Company>EFEO, Centre de Pékin</Company>
  <LinksUpToDate>false</LinksUpToDate>
  <CharactersWithSpaces>56033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GABBIANI</dc:creator>
  <cp:keywords/>
  <dc:description/>
  <cp:lastModifiedBy>Luca  GABBIANI</cp:lastModifiedBy>
  <cp:revision>31</cp:revision>
  <dcterms:created xsi:type="dcterms:W3CDTF">2013-11-12T11:13:00Z</dcterms:created>
  <dcterms:modified xsi:type="dcterms:W3CDTF">2013-12-03T18:08:00Z</dcterms:modified>
</cp:coreProperties>
</file>