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1A50A" w14:textId="77777777" w:rsidR="00D71C01" w:rsidRDefault="00D71C01" w:rsidP="006E25DC">
      <w:pPr>
        <w:rPr>
          <w:rFonts w:ascii="細明體" w:eastAsia="細明體" w:hAnsi="細明體"/>
          <w:sz w:val="28"/>
          <w:szCs w:val="28"/>
          <w:lang w:val="en-US"/>
        </w:rPr>
      </w:pPr>
    </w:p>
    <w:p w14:paraId="0BAF2012" w14:textId="77777777" w:rsidR="00D71C01" w:rsidRPr="00D71C01" w:rsidRDefault="0010563C" w:rsidP="00D71C01">
      <w:pPr>
        <w:pStyle w:val="NormalWeb"/>
        <w:spacing w:before="0" w:beforeAutospacing="0" w:after="0" w:afterAutospacing="0"/>
        <w:ind w:left="1230"/>
        <w:rPr>
          <w:sz w:val="28"/>
          <w:szCs w:val="28"/>
        </w:rPr>
      </w:pPr>
      <w:hyperlink r:id="rId6" w:history="1">
        <w:r w:rsidR="00D71C01" w:rsidRPr="00D71C01">
          <w:rPr>
            <w:rStyle w:val="Lienhypertexte"/>
            <w:sz w:val="28"/>
            <w:szCs w:val="28"/>
          </w:rPr>
          <w:t>律</w:t>
        </w:r>
        <w:r w:rsidR="00D71C01" w:rsidRPr="00D71C01">
          <w:rPr>
            <w:rStyle w:val="Lienhypertexte"/>
            <w:sz w:val="28"/>
            <w:szCs w:val="28"/>
          </w:rPr>
          <w:t>/</w:t>
        </w:r>
        <w:proofErr w:type="spellStart"/>
        <w:r w:rsidR="00D71C01" w:rsidRPr="00D71C01">
          <w:rPr>
            <w:rStyle w:val="Lienhypertexte"/>
            <w:sz w:val="28"/>
            <w:szCs w:val="28"/>
          </w:rPr>
          <w:t>lü</w:t>
        </w:r>
        <w:proofErr w:type="spellEnd"/>
        <w:r w:rsidR="00D71C01" w:rsidRPr="00D71C01">
          <w:rPr>
            <w:rStyle w:val="Lienhypertexte"/>
            <w:sz w:val="28"/>
            <w:szCs w:val="28"/>
          </w:rPr>
          <w:t xml:space="preserve"> 35 | </w:t>
        </w:r>
        <w:proofErr w:type="spellStart"/>
        <w:r w:rsidR="00D71C01" w:rsidRPr="00D71C01">
          <w:rPr>
            <w:rStyle w:val="Lienhypertexte"/>
            <w:sz w:val="28"/>
            <w:szCs w:val="28"/>
          </w:rPr>
          <w:t>Bentiao</w:t>
        </w:r>
        <w:proofErr w:type="spellEnd"/>
        <w:r w:rsidR="00D71C01" w:rsidRPr="00D71C01">
          <w:rPr>
            <w:rStyle w:val="Lienhypertexte"/>
            <w:sz w:val="28"/>
            <w:szCs w:val="28"/>
          </w:rPr>
          <w:t xml:space="preserve"> </w:t>
        </w:r>
        <w:proofErr w:type="spellStart"/>
        <w:r w:rsidR="00D71C01" w:rsidRPr="00D71C01">
          <w:rPr>
            <w:rStyle w:val="Lienhypertexte"/>
            <w:sz w:val="28"/>
            <w:szCs w:val="28"/>
          </w:rPr>
          <w:t>bieyou</w:t>
        </w:r>
        <w:proofErr w:type="spellEnd"/>
        <w:r w:rsidR="00D71C01" w:rsidRPr="00D71C01">
          <w:rPr>
            <w:rStyle w:val="Lienhypertexte"/>
            <w:sz w:val="28"/>
            <w:szCs w:val="28"/>
          </w:rPr>
          <w:t xml:space="preserve"> </w:t>
        </w:r>
        <w:proofErr w:type="spellStart"/>
        <w:r w:rsidR="00D71C01" w:rsidRPr="00D71C01">
          <w:rPr>
            <w:rStyle w:val="Lienhypertexte"/>
            <w:sz w:val="28"/>
            <w:szCs w:val="28"/>
          </w:rPr>
          <w:t>zuiming</w:t>
        </w:r>
        <w:proofErr w:type="spellEnd"/>
        <w:r w:rsidR="00D71C01" w:rsidRPr="00D71C01">
          <w:rPr>
            <w:rStyle w:val="Lienhypertexte"/>
            <w:sz w:val="28"/>
            <w:szCs w:val="28"/>
          </w:rPr>
          <w:t xml:space="preserve"> </w:t>
        </w:r>
        <w:r w:rsidR="00D71C01" w:rsidRPr="00D71C01">
          <w:rPr>
            <w:rStyle w:val="Lienhypertexte"/>
            <w:sz w:val="28"/>
            <w:szCs w:val="28"/>
          </w:rPr>
          <w:t>本條別有罪名</w:t>
        </w:r>
      </w:hyperlink>
    </w:p>
    <w:p w14:paraId="586DF83A" w14:textId="77777777" w:rsidR="00D71C01" w:rsidRPr="00492C8F" w:rsidRDefault="00D71C01" w:rsidP="00D71C01">
      <w:pPr>
        <w:pStyle w:val="NormalWeb"/>
        <w:rPr>
          <w:rFonts w:ascii="細明體" w:eastAsia="細明體" w:hAnsi="細明體"/>
          <w:sz w:val="28"/>
          <w:szCs w:val="28"/>
        </w:rPr>
      </w:pPr>
      <w:r w:rsidRPr="00492C8F">
        <w:rPr>
          <w:rFonts w:ascii="細明體" w:eastAsia="細明體" w:hAnsi="細明體"/>
          <w:sz w:val="28"/>
          <w:szCs w:val="28"/>
        </w:rPr>
        <w:t>凡本條自有罪名，與</w:t>
      </w:r>
      <w:r w:rsidRPr="00492C8F">
        <w:rPr>
          <w:rFonts w:ascii="細明體" w:eastAsia="細明體" w:hAnsi="細明體"/>
          <w:color w:val="5555AA"/>
          <w:sz w:val="28"/>
          <w:szCs w:val="28"/>
        </w:rPr>
        <w:t>名例</w:t>
      </w:r>
      <w:r w:rsidRPr="00492C8F">
        <w:rPr>
          <w:rFonts w:ascii="細明體" w:eastAsia="細明體" w:hAnsi="細明體"/>
          <w:sz w:val="28"/>
          <w:szCs w:val="28"/>
        </w:rPr>
        <w:t>罪不同者，依本條科斷。</w:t>
      </w:r>
    </w:p>
    <w:p w14:paraId="0DD8B0ED" w14:textId="77777777" w:rsidR="00D71C01" w:rsidRPr="00492C8F" w:rsidRDefault="00D71C01" w:rsidP="00D71C01">
      <w:pPr>
        <w:pStyle w:val="NormalWeb"/>
        <w:rPr>
          <w:rFonts w:ascii="細明體" w:eastAsia="細明體" w:hAnsi="細明體"/>
          <w:sz w:val="28"/>
          <w:szCs w:val="28"/>
        </w:rPr>
      </w:pPr>
      <w:r w:rsidRPr="00492C8F">
        <w:rPr>
          <w:rFonts w:ascii="細明體" w:eastAsia="細明體" w:hAnsi="細明體"/>
          <w:sz w:val="28"/>
          <w:szCs w:val="28"/>
        </w:rPr>
        <w:t>若本條雖有罪名，其</w:t>
      </w:r>
      <w:r w:rsidRPr="00492C8F">
        <w:rPr>
          <w:rFonts w:ascii="細明體" w:eastAsia="細明體" w:hAnsi="細明體"/>
          <w:color w:val="3370FF"/>
          <w:sz w:val="28"/>
          <w:szCs w:val="28"/>
          <w:vertAlign w:val="subscript"/>
        </w:rPr>
        <w:t>心</w:t>
      </w:r>
      <w:r w:rsidRPr="00492C8F">
        <w:rPr>
          <w:rFonts w:ascii="細明體" w:eastAsia="細明體" w:hAnsi="細明體"/>
          <w:sz w:val="28"/>
          <w:szCs w:val="28"/>
        </w:rPr>
        <w:t>有所規避罪重者，</w:t>
      </w:r>
      <w:r w:rsidRPr="00492C8F">
        <w:rPr>
          <w:rFonts w:ascii="細明體" w:eastAsia="細明體" w:hAnsi="細明體"/>
          <w:color w:val="3370FF"/>
          <w:sz w:val="28"/>
          <w:szCs w:val="28"/>
          <w:vertAlign w:val="subscript"/>
        </w:rPr>
        <w:t>又不泥於本條。</w:t>
      </w:r>
      <w:r w:rsidRPr="00492C8F">
        <w:rPr>
          <w:rFonts w:ascii="細明體" w:eastAsia="細明體" w:hAnsi="細明體"/>
          <w:sz w:val="28"/>
          <w:szCs w:val="28"/>
        </w:rPr>
        <w:t>自從</w:t>
      </w:r>
      <w:r w:rsidRPr="00492C8F">
        <w:rPr>
          <w:rFonts w:ascii="細明體" w:eastAsia="細明體" w:hAnsi="細明體"/>
          <w:color w:val="3370FF"/>
          <w:sz w:val="28"/>
          <w:szCs w:val="28"/>
          <w:vertAlign w:val="subscript"/>
        </w:rPr>
        <w:t>所規避之</w:t>
      </w:r>
      <w:r w:rsidRPr="00492C8F">
        <w:rPr>
          <w:rFonts w:ascii="細明體" w:eastAsia="細明體" w:hAnsi="細明體"/>
          <w:sz w:val="28"/>
          <w:szCs w:val="28"/>
        </w:rPr>
        <w:t>重</w:t>
      </w:r>
      <w:r w:rsidRPr="00492C8F">
        <w:rPr>
          <w:rFonts w:ascii="細明體" w:eastAsia="細明體" w:hAnsi="細明體"/>
          <w:color w:val="3370FF"/>
          <w:sz w:val="28"/>
          <w:szCs w:val="28"/>
          <w:vertAlign w:val="subscript"/>
        </w:rPr>
        <w:t>罪</w:t>
      </w:r>
      <w:r w:rsidRPr="00492C8F">
        <w:rPr>
          <w:rFonts w:ascii="細明體" w:eastAsia="細明體" w:hAnsi="細明體"/>
          <w:sz w:val="28"/>
          <w:szCs w:val="28"/>
        </w:rPr>
        <w:t>論。</w:t>
      </w:r>
    </w:p>
    <w:p w14:paraId="4D081E22" w14:textId="77777777" w:rsidR="00D71C01" w:rsidRPr="00492C8F" w:rsidRDefault="00D71C01" w:rsidP="00D71C01">
      <w:pPr>
        <w:pStyle w:val="NormalWeb"/>
        <w:rPr>
          <w:rFonts w:ascii="細明體" w:eastAsia="細明體" w:hAnsi="細明體"/>
          <w:sz w:val="28"/>
          <w:szCs w:val="28"/>
        </w:rPr>
      </w:pPr>
      <w:r w:rsidRPr="00492C8F">
        <w:rPr>
          <w:rFonts w:ascii="細明體" w:eastAsia="細明體" w:hAnsi="細明體"/>
          <w:sz w:val="28"/>
          <w:szCs w:val="28"/>
        </w:rPr>
        <w:t>其本應罪重，而犯時不知者，依凡人論；</w:t>
      </w:r>
      <w:r w:rsidRPr="00492C8F">
        <w:rPr>
          <w:rFonts w:ascii="細明體" w:eastAsia="細明體" w:hAnsi="細明體"/>
          <w:color w:val="3370FF"/>
          <w:sz w:val="28"/>
          <w:szCs w:val="28"/>
          <w:vertAlign w:val="subscript"/>
        </w:rPr>
        <w:t>謂如叔姪別處生長，素不相識，姪打叔傷，官司推問，始知是叔，止依凡人鬥法。又如別處竊盜，</w:t>
      </w:r>
      <w:r w:rsidRPr="00492C8F">
        <w:rPr>
          <w:rFonts w:ascii="細明體" w:eastAsia="細明體" w:hAnsi="細明體" w:cs="Lantinghei TC Heavy"/>
          <w:color w:val="3370FF"/>
          <w:sz w:val="28"/>
          <w:szCs w:val="28"/>
          <w:vertAlign w:val="subscript"/>
        </w:rPr>
        <w:t>偷</w:t>
      </w:r>
      <w:r w:rsidRPr="00492C8F">
        <w:rPr>
          <w:rFonts w:ascii="細明體" w:eastAsia="細明體" w:hAnsi="細明體"/>
          <w:color w:val="3370FF"/>
          <w:sz w:val="28"/>
          <w:szCs w:val="28"/>
          <w:vertAlign w:val="subscript"/>
        </w:rPr>
        <w:t>得大祀神御之物。如此之類，並是犯時不知，止依凡論，同常盜之律。</w:t>
      </w:r>
      <w:r w:rsidRPr="00492C8F">
        <w:rPr>
          <w:rFonts w:ascii="細明體" w:eastAsia="細明體" w:hAnsi="細明體"/>
          <w:sz w:val="28"/>
          <w:szCs w:val="28"/>
        </w:rPr>
        <w:t>本應輕者，聽從本法。</w:t>
      </w:r>
      <w:r w:rsidRPr="00492C8F">
        <w:rPr>
          <w:rFonts w:ascii="細明體" w:eastAsia="細明體" w:hAnsi="細明體"/>
          <w:color w:val="3370FF"/>
          <w:sz w:val="28"/>
          <w:szCs w:val="28"/>
          <w:vertAlign w:val="subscript"/>
        </w:rPr>
        <w:t>謂如父不識子，毆打之後，方始得知，止依打子之法，不可以凡毆論</w:t>
      </w:r>
    </w:p>
    <w:p w14:paraId="5D75478D" w14:textId="01B1CF74" w:rsidR="00D71C01" w:rsidRPr="003634E1" w:rsidRDefault="003634E1" w:rsidP="006E25DC">
      <w:pPr>
        <w:rPr>
          <w:rFonts w:ascii="Times" w:eastAsia="細明體" w:hAnsi="Times"/>
          <w:b/>
          <w:sz w:val="28"/>
          <w:szCs w:val="28"/>
        </w:rPr>
      </w:pPr>
      <w:r w:rsidRPr="003634E1">
        <w:rPr>
          <w:rFonts w:ascii="Times" w:eastAsia="細明體" w:hAnsi="Times"/>
          <w:b/>
          <w:sz w:val="28"/>
          <w:szCs w:val="28"/>
        </w:rPr>
        <w:t xml:space="preserve">Article spécial comportant une qualification pénale différente de celle </w:t>
      </w:r>
      <w:r>
        <w:rPr>
          <w:rFonts w:ascii="Times" w:eastAsia="細明體" w:hAnsi="Times"/>
          <w:b/>
          <w:sz w:val="28"/>
          <w:szCs w:val="28"/>
        </w:rPr>
        <w:t>[</w:t>
      </w:r>
      <w:r w:rsidRPr="003634E1">
        <w:rPr>
          <w:rFonts w:ascii="Times" w:eastAsia="細明體" w:hAnsi="Times"/>
          <w:b/>
          <w:sz w:val="28"/>
          <w:szCs w:val="28"/>
        </w:rPr>
        <w:t>de la partie générale</w:t>
      </w:r>
      <w:r>
        <w:rPr>
          <w:rFonts w:ascii="Times" w:eastAsia="細明體" w:hAnsi="Times"/>
          <w:b/>
          <w:sz w:val="28"/>
          <w:szCs w:val="28"/>
        </w:rPr>
        <w:t>]</w:t>
      </w:r>
      <w:r w:rsidRPr="003634E1">
        <w:rPr>
          <w:rFonts w:ascii="Times" w:eastAsia="細明體" w:hAnsi="Times"/>
          <w:b/>
          <w:sz w:val="28"/>
          <w:szCs w:val="28"/>
        </w:rPr>
        <w:t xml:space="preserve"> des « définitions et règles »</w:t>
      </w:r>
    </w:p>
    <w:p w14:paraId="7746C622" w14:textId="45676E61" w:rsidR="00D71C01" w:rsidRPr="00D71C01" w:rsidRDefault="00B4135B" w:rsidP="006E25DC">
      <w:pPr>
        <w:rPr>
          <w:rFonts w:ascii="Times" w:eastAsia="細明體" w:hAnsi="Times"/>
          <w:sz w:val="28"/>
          <w:szCs w:val="28"/>
        </w:rPr>
      </w:pPr>
      <w:r>
        <w:rPr>
          <w:rFonts w:ascii="Times" w:eastAsia="細明體" w:hAnsi="Times"/>
          <w:sz w:val="28"/>
          <w:szCs w:val="28"/>
        </w:rPr>
        <w:t xml:space="preserve">§1. </w:t>
      </w:r>
      <w:r w:rsidR="00D71C01" w:rsidRPr="00D71C01">
        <w:rPr>
          <w:rFonts w:ascii="Times" w:eastAsia="細明體" w:hAnsi="Times"/>
          <w:sz w:val="28"/>
          <w:szCs w:val="28"/>
        </w:rPr>
        <w:t xml:space="preserve">Si l’article </w:t>
      </w:r>
      <w:r w:rsidR="00D71C01">
        <w:rPr>
          <w:rFonts w:ascii="Times" w:eastAsia="細明體" w:hAnsi="Times"/>
          <w:sz w:val="28"/>
          <w:szCs w:val="28"/>
        </w:rPr>
        <w:t>spé</w:t>
      </w:r>
      <w:r w:rsidR="00D71C01" w:rsidRPr="00D71C01">
        <w:rPr>
          <w:rFonts w:ascii="Times" w:eastAsia="細明體" w:hAnsi="Times"/>
          <w:sz w:val="28"/>
          <w:szCs w:val="28"/>
        </w:rPr>
        <w:t>cial applicable à un cas</w:t>
      </w:r>
      <w:r w:rsidR="00FE043E">
        <w:rPr>
          <w:rFonts w:ascii="Times" w:eastAsia="細明體" w:hAnsi="Times"/>
          <w:sz w:val="28"/>
          <w:szCs w:val="28"/>
        </w:rPr>
        <w:t xml:space="preserve"> contient </w:t>
      </w:r>
      <w:r w:rsidR="00D45921">
        <w:rPr>
          <w:rFonts w:ascii="Times" w:eastAsia="細明體" w:hAnsi="Times"/>
          <w:sz w:val="28"/>
          <w:szCs w:val="28"/>
        </w:rPr>
        <w:t xml:space="preserve">sa propre qualification criminelle, différente de celle qui se trouve dans la partie des noms et des règles générales, la sentence doit être décidée en vertu de cet article spécial. Si, bien qu’un article spécial ait sa propre qualification, quelqu’un </w:t>
      </w:r>
      <w:r w:rsidR="00D45921" w:rsidRPr="00492C8F">
        <w:rPr>
          <w:rFonts w:ascii="Times" w:eastAsia="細明體" w:hAnsi="Times"/>
          <w:color w:val="3366FF"/>
          <w:sz w:val="20"/>
          <w:szCs w:val="20"/>
        </w:rPr>
        <w:t>délibérément</w:t>
      </w:r>
      <w:r w:rsidR="00D45921">
        <w:rPr>
          <w:rFonts w:ascii="Times" w:eastAsia="細明體" w:hAnsi="Times"/>
          <w:sz w:val="28"/>
          <w:szCs w:val="28"/>
        </w:rPr>
        <w:t xml:space="preserve"> cherche à en profiter pour échapper à une sentence grave, </w:t>
      </w:r>
      <w:r w:rsidR="00D45921" w:rsidRPr="00492C8F">
        <w:rPr>
          <w:rFonts w:ascii="Times" w:eastAsia="細明體" w:hAnsi="Times"/>
          <w:color w:val="3366FF"/>
          <w:sz w:val="20"/>
          <w:szCs w:val="20"/>
        </w:rPr>
        <w:t>alors sans plus chercher à appliquer l’article spécial</w:t>
      </w:r>
      <w:r w:rsidR="00D45921">
        <w:rPr>
          <w:rFonts w:ascii="Times" w:eastAsia="細明體" w:hAnsi="Times"/>
          <w:sz w:val="28"/>
          <w:szCs w:val="28"/>
        </w:rPr>
        <w:t xml:space="preserve">, qu’il soit condamné à la lourde sentence </w:t>
      </w:r>
      <w:r w:rsidR="00D45921" w:rsidRPr="00492C8F">
        <w:rPr>
          <w:rFonts w:ascii="Times" w:eastAsia="細明體" w:hAnsi="Times"/>
          <w:color w:val="3366FF"/>
          <w:sz w:val="20"/>
          <w:szCs w:val="20"/>
        </w:rPr>
        <w:t>qu’il a cherché à éviter</w:t>
      </w:r>
      <w:r w:rsidR="00D45921">
        <w:rPr>
          <w:rFonts w:ascii="Times" w:eastAsia="細明體" w:hAnsi="Times"/>
          <w:sz w:val="28"/>
          <w:szCs w:val="28"/>
        </w:rPr>
        <w:t xml:space="preserve">. </w:t>
      </w:r>
    </w:p>
    <w:p w14:paraId="712C055A" w14:textId="13F7DDC0" w:rsidR="00D71C01" w:rsidRPr="00304543" w:rsidRDefault="00B4135B" w:rsidP="003634E1">
      <w:pPr>
        <w:tabs>
          <w:tab w:val="left" w:pos="1134"/>
        </w:tabs>
        <w:rPr>
          <w:rFonts w:ascii="Times" w:eastAsia="細明體" w:hAnsi="Times"/>
          <w:color w:val="3366FF"/>
          <w:sz w:val="20"/>
          <w:szCs w:val="20"/>
        </w:rPr>
      </w:pPr>
      <w:r>
        <w:rPr>
          <w:rFonts w:ascii="Times" w:eastAsia="細明體" w:hAnsi="Times"/>
          <w:sz w:val="28"/>
          <w:szCs w:val="28"/>
        </w:rPr>
        <w:t xml:space="preserve">§2. </w:t>
      </w:r>
      <w:r w:rsidR="00492C8F" w:rsidRPr="00492C8F">
        <w:rPr>
          <w:rFonts w:ascii="Times" w:eastAsia="細明體" w:hAnsi="Times"/>
          <w:sz w:val="28"/>
          <w:szCs w:val="28"/>
        </w:rPr>
        <w:t xml:space="preserve">Si la nature </w:t>
      </w:r>
      <w:r w:rsidR="00492C8F">
        <w:rPr>
          <w:rFonts w:ascii="Times" w:eastAsia="細明體" w:hAnsi="Times"/>
          <w:sz w:val="28"/>
          <w:szCs w:val="28"/>
        </w:rPr>
        <w:t xml:space="preserve">des faits </w:t>
      </w:r>
      <w:r w:rsidR="00492C8F" w:rsidRPr="00492C8F">
        <w:rPr>
          <w:rFonts w:ascii="Times" w:eastAsia="細明體" w:hAnsi="Times"/>
          <w:sz w:val="28"/>
          <w:szCs w:val="28"/>
        </w:rPr>
        <w:t>implique une peine plus grave</w:t>
      </w:r>
      <w:r w:rsidR="00492C8F">
        <w:rPr>
          <w:rFonts w:ascii="Times" w:eastAsia="細明體" w:hAnsi="Times"/>
          <w:sz w:val="28"/>
          <w:szCs w:val="28"/>
        </w:rPr>
        <w:t xml:space="preserve"> mais que le coupable n’en a pas conscience, prononcer comme pour </w:t>
      </w:r>
      <w:r w:rsidR="0005059E">
        <w:rPr>
          <w:rFonts w:ascii="Times" w:eastAsia="細明體" w:hAnsi="Times"/>
          <w:sz w:val="28"/>
          <w:szCs w:val="28"/>
        </w:rPr>
        <w:t>les personnes</w:t>
      </w:r>
      <w:r w:rsidR="00492C8F">
        <w:rPr>
          <w:rFonts w:ascii="Times" w:eastAsia="細明體" w:hAnsi="Times"/>
          <w:sz w:val="28"/>
          <w:szCs w:val="28"/>
        </w:rPr>
        <w:t xml:space="preserve"> ordinaire</w:t>
      </w:r>
      <w:r w:rsidR="0005059E">
        <w:rPr>
          <w:rFonts w:ascii="Times" w:eastAsia="細明體" w:hAnsi="Times"/>
          <w:sz w:val="28"/>
          <w:szCs w:val="28"/>
        </w:rPr>
        <w:t>s</w:t>
      </w:r>
      <w:r w:rsidR="00492C8F">
        <w:rPr>
          <w:rFonts w:ascii="Times" w:eastAsia="細明體" w:hAnsi="Times"/>
          <w:sz w:val="28"/>
          <w:szCs w:val="28"/>
        </w:rPr>
        <w:t xml:space="preserve">. </w:t>
      </w:r>
      <w:r w:rsidR="0005059E">
        <w:rPr>
          <w:rFonts w:ascii="Times" w:eastAsia="細明體" w:hAnsi="Times"/>
          <w:color w:val="3366FF"/>
          <w:sz w:val="20"/>
          <w:szCs w:val="20"/>
        </w:rPr>
        <w:t>Cela veut dire qu’</w:t>
      </w:r>
      <w:r w:rsidR="00492C8F" w:rsidRPr="00082A14">
        <w:rPr>
          <w:rFonts w:ascii="Times" w:eastAsia="細明體" w:hAnsi="Times"/>
          <w:color w:val="3366FF"/>
          <w:sz w:val="20"/>
          <w:szCs w:val="20"/>
        </w:rPr>
        <w:t>un oncle et son neveu qui ont vécu et grandi séparémen</w:t>
      </w:r>
      <w:r w:rsidR="0005059E">
        <w:rPr>
          <w:rFonts w:ascii="Times" w:eastAsia="細明體" w:hAnsi="Times"/>
          <w:color w:val="3366FF"/>
          <w:sz w:val="20"/>
          <w:szCs w:val="20"/>
        </w:rPr>
        <w:t>t</w:t>
      </w:r>
      <w:r w:rsidR="00492C8F" w:rsidRPr="00082A14">
        <w:rPr>
          <w:rFonts w:ascii="Times" w:eastAsia="細明體" w:hAnsi="Times"/>
          <w:color w:val="3366FF"/>
          <w:sz w:val="20"/>
          <w:szCs w:val="20"/>
        </w:rPr>
        <w:t xml:space="preserve"> sans jamais se rencontrer ni connaître,</w:t>
      </w:r>
      <w:r w:rsidR="002A3C4A" w:rsidRPr="00082A14">
        <w:rPr>
          <w:rFonts w:ascii="Times" w:eastAsia="細明體" w:hAnsi="Times"/>
          <w:color w:val="3366FF"/>
          <w:sz w:val="20"/>
          <w:szCs w:val="20"/>
        </w:rPr>
        <w:t xml:space="preserve"> si le neveu frappe l’oncle et le blesse</w:t>
      </w:r>
      <w:r w:rsidR="00492C8F" w:rsidRPr="00082A14">
        <w:rPr>
          <w:rFonts w:ascii="Times" w:eastAsia="細明體" w:hAnsi="Times"/>
          <w:color w:val="3366FF"/>
          <w:sz w:val="20"/>
          <w:szCs w:val="20"/>
        </w:rPr>
        <w:t xml:space="preserve"> </w:t>
      </w:r>
      <w:r w:rsidR="002A3C4A" w:rsidRPr="00082A14">
        <w:rPr>
          <w:rFonts w:ascii="Times" w:eastAsia="細明體" w:hAnsi="Times"/>
          <w:color w:val="3366FF"/>
          <w:sz w:val="20"/>
          <w:szCs w:val="20"/>
        </w:rPr>
        <w:t>et que</w:t>
      </w:r>
      <w:r>
        <w:rPr>
          <w:rFonts w:ascii="Times" w:eastAsia="細明體" w:hAnsi="Times"/>
          <w:color w:val="3366FF"/>
          <w:sz w:val="20"/>
          <w:szCs w:val="20"/>
        </w:rPr>
        <w:t xml:space="preserve"> ce n’est que lorsqu’interrogé </w:t>
      </w:r>
      <w:r w:rsidR="002A3C4A" w:rsidRPr="00082A14">
        <w:rPr>
          <w:rFonts w:ascii="Times" w:eastAsia="細明體" w:hAnsi="Times"/>
          <w:color w:val="3366FF"/>
          <w:sz w:val="20"/>
          <w:szCs w:val="20"/>
        </w:rPr>
        <w:t>par le juge qu’il a</w:t>
      </w:r>
      <w:r>
        <w:rPr>
          <w:rFonts w:ascii="Times" w:eastAsia="細明體" w:hAnsi="Times"/>
          <w:color w:val="3366FF"/>
          <w:sz w:val="20"/>
          <w:szCs w:val="20"/>
        </w:rPr>
        <w:t xml:space="preserve">pprend </w:t>
      </w:r>
      <w:r w:rsidR="002A3C4A" w:rsidRPr="00082A14">
        <w:rPr>
          <w:rFonts w:ascii="Times" w:eastAsia="細明體" w:hAnsi="Times"/>
          <w:color w:val="3366FF"/>
          <w:sz w:val="20"/>
          <w:szCs w:val="20"/>
        </w:rPr>
        <w:t>que c’était son oncle</w:t>
      </w:r>
      <w:r>
        <w:rPr>
          <w:rFonts w:ascii="Times" w:eastAsia="細明體" w:hAnsi="Times"/>
          <w:color w:val="3366FF"/>
          <w:sz w:val="20"/>
          <w:szCs w:val="20"/>
        </w:rPr>
        <w:t>, il</w:t>
      </w:r>
      <w:r w:rsidR="00492C8F" w:rsidRPr="00082A14">
        <w:rPr>
          <w:rFonts w:ascii="Times" w:eastAsia="細明體" w:hAnsi="Times"/>
          <w:color w:val="3366FF"/>
          <w:sz w:val="20"/>
          <w:szCs w:val="20"/>
        </w:rPr>
        <w:t xml:space="preserve"> ne </w:t>
      </w:r>
      <w:r w:rsidR="002A7B3B">
        <w:rPr>
          <w:rFonts w:ascii="Times" w:eastAsia="細明體" w:hAnsi="Times"/>
          <w:color w:val="3366FF"/>
          <w:sz w:val="20"/>
          <w:szCs w:val="20"/>
        </w:rPr>
        <w:t xml:space="preserve">faut </w:t>
      </w:r>
      <w:r w:rsidR="00492C8F" w:rsidRPr="00082A14">
        <w:rPr>
          <w:rFonts w:ascii="Times" w:eastAsia="細明體" w:hAnsi="Times"/>
          <w:color w:val="3366FF"/>
          <w:sz w:val="20"/>
          <w:szCs w:val="20"/>
        </w:rPr>
        <w:t>prononce</w:t>
      </w:r>
      <w:r>
        <w:rPr>
          <w:rFonts w:ascii="Times" w:eastAsia="細明體" w:hAnsi="Times"/>
          <w:color w:val="3366FF"/>
          <w:sz w:val="20"/>
          <w:szCs w:val="20"/>
        </w:rPr>
        <w:t>r</w:t>
      </w:r>
      <w:r w:rsidR="00492C8F" w:rsidRPr="00082A14">
        <w:rPr>
          <w:rFonts w:ascii="Times" w:eastAsia="細明體" w:hAnsi="Times"/>
          <w:color w:val="3366FF"/>
          <w:sz w:val="20"/>
          <w:szCs w:val="20"/>
        </w:rPr>
        <w:t xml:space="preserve"> que pour </w:t>
      </w:r>
      <w:r w:rsidR="0005059E">
        <w:rPr>
          <w:rFonts w:ascii="Times" w:eastAsia="細明體" w:hAnsi="Times"/>
          <w:color w:val="3366FF"/>
          <w:sz w:val="20"/>
          <w:szCs w:val="20"/>
        </w:rPr>
        <w:t>coups portés</w:t>
      </w:r>
      <w:r w:rsidR="00492C8F" w:rsidRPr="00082A14">
        <w:rPr>
          <w:rFonts w:ascii="Times" w:eastAsia="細明體" w:hAnsi="Times"/>
          <w:color w:val="3366FF"/>
          <w:sz w:val="20"/>
          <w:szCs w:val="20"/>
        </w:rPr>
        <w:t xml:space="preserve"> entre personnes ordinaires. </w:t>
      </w:r>
      <w:r w:rsidR="002A3C4A" w:rsidRPr="00082A14">
        <w:rPr>
          <w:rFonts w:ascii="Times" w:eastAsia="細明體" w:hAnsi="Times"/>
          <w:color w:val="3366FF"/>
          <w:sz w:val="20"/>
          <w:szCs w:val="20"/>
        </w:rPr>
        <w:t>Ou bien</w:t>
      </w:r>
      <w:r>
        <w:rPr>
          <w:rFonts w:ascii="Times" w:eastAsia="細明體" w:hAnsi="Times"/>
          <w:color w:val="3366FF"/>
          <w:sz w:val="20"/>
          <w:szCs w:val="20"/>
        </w:rPr>
        <w:t>,</w:t>
      </w:r>
      <w:r w:rsidR="002A3C4A" w:rsidRPr="00082A14">
        <w:rPr>
          <w:rFonts w:ascii="Times" w:eastAsia="細明體" w:hAnsi="Times"/>
          <w:color w:val="3366FF"/>
          <w:sz w:val="20"/>
          <w:szCs w:val="20"/>
        </w:rPr>
        <w:t xml:space="preserve"> si en commettan</w:t>
      </w:r>
      <w:r w:rsidR="008906A8" w:rsidRPr="00082A14">
        <w:rPr>
          <w:rFonts w:ascii="Times" w:eastAsia="細明體" w:hAnsi="Times"/>
          <w:color w:val="3366FF"/>
          <w:sz w:val="20"/>
          <w:szCs w:val="20"/>
        </w:rPr>
        <w:t>t</w:t>
      </w:r>
      <w:r w:rsidR="002A3C4A" w:rsidRPr="00082A14">
        <w:rPr>
          <w:rFonts w:ascii="Times" w:eastAsia="細明體" w:hAnsi="Times"/>
          <w:color w:val="3366FF"/>
          <w:sz w:val="20"/>
          <w:szCs w:val="20"/>
        </w:rPr>
        <w:t xml:space="preserve"> un vol en un </w:t>
      </w:r>
      <w:r w:rsidR="008906A8" w:rsidRPr="00082A14">
        <w:rPr>
          <w:rFonts w:ascii="Times" w:eastAsia="細明體" w:hAnsi="Times"/>
          <w:color w:val="3366FF"/>
          <w:sz w:val="20"/>
          <w:szCs w:val="20"/>
        </w:rPr>
        <w:t xml:space="preserve">autre </w:t>
      </w:r>
      <w:r w:rsidR="002A3C4A" w:rsidRPr="00082A14">
        <w:rPr>
          <w:rFonts w:ascii="Times" w:eastAsia="細明體" w:hAnsi="Times"/>
          <w:color w:val="3366FF"/>
          <w:sz w:val="20"/>
          <w:szCs w:val="20"/>
        </w:rPr>
        <w:t xml:space="preserve">endroit, quelqu’un prend possession d’objets sacrés </w:t>
      </w:r>
      <w:r>
        <w:rPr>
          <w:rFonts w:ascii="Times" w:eastAsia="細明體" w:hAnsi="Times"/>
          <w:color w:val="3366FF"/>
          <w:sz w:val="20"/>
          <w:szCs w:val="20"/>
        </w:rPr>
        <w:t>provenant</w:t>
      </w:r>
      <w:r w:rsidR="008906A8" w:rsidRPr="00082A14">
        <w:rPr>
          <w:rFonts w:ascii="Times" w:eastAsia="細明體" w:hAnsi="Times"/>
          <w:color w:val="3366FF"/>
          <w:sz w:val="20"/>
          <w:szCs w:val="20"/>
        </w:rPr>
        <w:t xml:space="preserve"> </w:t>
      </w:r>
      <w:r>
        <w:rPr>
          <w:rFonts w:ascii="Times" w:eastAsia="細明體" w:hAnsi="Times"/>
          <w:color w:val="3366FF"/>
          <w:sz w:val="20"/>
          <w:szCs w:val="20"/>
        </w:rPr>
        <w:t xml:space="preserve">d’un sanctuaire </w:t>
      </w:r>
      <w:r w:rsidR="008906A8" w:rsidRPr="00082A14">
        <w:rPr>
          <w:rFonts w:ascii="Times" w:eastAsia="細明體" w:hAnsi="Times"/>
          <w:color w:val="3366FF"/>
          <w:sz w:val="20"/>
          <w:szCs w:val="20"/>
        </w:rPr>
        <w:t>voué au culte</w:t>
      </w:r>
      <w:r w:rsidR="002A3C4A" w:rsidRPr="00082A14">
        <w:rPr>
          <w:rFonts w:ascii="Times" w:eastAsia="細明體" w:hAnsi="Times"/>
          <w:color w:val="3366FF"/>
          <w:sz w:val="20"/>
          <w:szCs w:val="20"/>
        </w:rPr>
        <w:t xml:space="preserve"> impérial</w:t>
      </w:r>
      <w:r w:rsidR="008906A8" w:rsidRPr="00082A14">
        <w:rPr>
          <w:rFonts w:ascii="Times" w:eastAsia="細明體" w:hAnsi="Times"/>
          <w:color w:val="3366FF"/>
          <w:sz w:val="20"/>
          <w:szCs w:val="20"/>
        </w:rPr>
        <w:t>, et autres actes de ce genre commis alors que le coupable n’en a pas connaiss</w:t>
      </w:r>
      <w:r>
        <w:rPr>
          <w:rFonts w:ascii="Times" w:eastAsia="細明體" w:hAnsi="Times"/>
          <w:color w:val="3366FF"/>
          <w:sz w:val="20"/>
          <w:szCs w:val="20"/>
        </w:rPr>
        <w:t>ance, prononcer à l’ordinaire, en vertu de</w:t>
      </w:r>
      <w:r w:rsidR="008906A8" w:rsidRPr="00082A14">
        <w:rPr>
          <w:rFonts w:ascii="Times" w:eastAsia="細明體" w:hAnsi="Times"/>
          <w:color w:val="3366FF"/>
          <w:sz w:val="20"/>
          <w:szCs w:val="20"/>
        </w:rPr>
        <w:t xml:space="preserve"> l’article sur les vols</w:t>
      </w:r>
      <w:r w:rsidR="0005059E">
        <w:rPr>
          <w:rFonts w:ascii="Times" w:eastAsia="細明體" w:hAnsi="Times"/>
          <w:color w:val="3366FF"/>
          <w:sz w:val="20"/>
          <w:szCs w:val="20"/>
        </w:rPr>
        <w:t xml:space="preserve"> courants</w:t>
      </w:r>
      <w:r w:rsidR="00082A14">
        <w:rPr>
          <w:rFonts w:ascii="Times" w:eastAsia="細明體" w:hAnsi="Times"/>
          <w:sz w:val="28"/>
          <w:szCs w:val="28"/>
        </w:rPr>
        <w:t xml:space="preserve">. Si la nature des faits </w:t>
      </w:r>
      <w:r w:rsidR="0005059E">
        <w:rPr>
          <w:rFonts w:ascii="Times" w:eastAsia="細明體" w:hAnsi="Times"/>
          <w:sz w:val="28"/>
          <w:szCs w:val="28"/>
        </w:rPr>
        <w:t>implique une peine plus légère [et que le coupable n’en a pas conscience]</w:t>
      </w:r>
      <w:r w:rsidR="00082A14">
        <w:rPr>
          <w:rFonts w:ascii="Times" w:eastAsia="細明體" w:hAnsi="Times"/>
          <w:sz w:val="28"/>
          <w:szCs w:val="28"/>
        </w:rPr>
        <w:t xml:space="preserve">, </w:t>
      </w:r>
      <w:r w:rsidR="00304543">
        <w:rPr>
          <w:rFonts w:ascii="Times" w:eastAsia="細明體" w:hAnsi="Times"/>
          <w:sz w:val="28"/>
          <w:szCs w:val="28"/>
        </w:rPr>
        <w:t xml:space="preserve">laisser </w:t>
      </w:r>
      <w:r w:rsidR="003634E1">
        <w:rPr>
          <w:rFonts w:ascii="Times" w:eastAsia="細明體" w:hAnsi="Times"/>
          <w:sz w:val="28"/>
          <w:szCs w:val="28"/>
        </w:rPr>
        <w:t xml:space="preserve">s’appliquer </w:t>
      </w:r>
      <w:r w:rsidR="00304543">
        <w:rPr>
          <w:rFonts w:ascii="Times" w:eastAsia="細明體" w:hAnsi="Times"/>
          <w:sz w:val="28"/>
          <w:szCs w:val="28"/>
        </w:rPr>
        <w:t xml:space="preserve">la règle </w:t>
      </w:r>
      <w:r w:rsidR="003634E1">
        <w:rPr>
          <w:rFonts w:ascii="Times" w:eastAsia="細明體" w:hAnsi="Times"/>
          <w:sz w:val="28"/>
          <w:szCs w:val="28"/>
        </w:rPr>
        <w:t>d’allègement</w:t>
      </w:r>
      <w:r w:rsidR="00082A14">
        <w:rPr>
          <w:rFonts w:ascii="Times" w:eastAsia="細明體" w:hAnsi="Times"/>
          <w:sz w:val="28"/>
          <w:szCs w:val="28"/>
        </w:rPr>
        <w:t xml:space="preserve"> </w:t>
      </w:r>
      <w:r w:rsidR="00304543" w:rsidRPr="00304543">
        <w:rPr>
          <w:rFonts w:ascii="Times" w:eastAsia="細明體" w:hAnsi="Times"/>
          <w:color w:val="3366FF"/>
          <w:sz w:val="20"/>
          <w:szCs w:val="20"/>
        </w:rPr>
        <w:t>c’est-à-dire que si un père ne connaît pas son fils, qu’il le frappe et seulement alors découvre qui il est, on ne condamne que d’</w:t>
      </w:r>
      <w:r w:rsidR="002A7B3B">
        <w:rPr>
          <w:rFonts w:ascii="Times" w:eastAsia="細明體" w:hAnsi="Times"/>
          <w:color w:val="3366FF"/>
          <w:sz w:val="20"/>
          <w:szCs w:val="20"/>
        </w:rPr>
        <w:t>après la règle [qui exempte de</w:t>
      </w:r>
      <w:r w:rsidR="00304543" w:rsidRPr="00304543">
        <w:rPr>
          <w:rFonts w:ascii="Times" w:eastAsia="細明體" w:hAnsi="Times"/>
          <w:color w:val="3366FF"/>
          <w:sz w:val="20"/>
          <w:szCs w:val="20"/>
        </w:rPr>
        <w:t xml:space="preserve"> peine] un père frappant son fils, on ne peut condamner pour coups </w:t>
      </w:r>
      <w:r w:rsidR="003634E1">
        <w:rPr>
          <w:rFonts w:ascii="Times" w:eastAsia="細明體" w:hAnsi="Times"/>
          <w:color w:val="3366FF"/>
          <w:sz w:val="20"/>
          <w:szCs w:val="20"/>
        </w:rPr>
        <w:t>entre</w:t>
      </w:r>
      <w:r w:rsidR="00304543" w:rsidRPr="00304543">
        <w:rPr>
          <w:rFonts w:ascii="Times" w:eastAsia="細明體" w:hAnsi="Times"/>
          <w:color w:val="3366FF"/>
          <w:sz w:val="20"/>
          <w:szCs w:val="20"/>
        </w:rPr>
        <w:t xml:space="preserve"> personne</w:t>
      </w:r>
      <w:r w:rsidR="003634E1">
        <w:rPr>
          <w:rFonts w:ascii="Times" w:eastAsia="細明體" w:hAnsi="Times"/>
          <w:color w:val="3366FF"/>
          <w:sz w:val="20"/>
          <w:szCs w:val="20"/>
        </w:rPr>
        <w:t>s</w:t>
      </w:r>
      <w:r w:rsidR="00304543" w:rsidRPr="00304543">
        <w:rPr>
          <w:rFonts w:ascii="Times" w:eastAsia="細明體" w:hAnsi="Times"/>
          <w:color w:val="3366FF"/>
          <w:sz w:val="20"/>
          <w:szCs w:val="20"/>
        </w:rPr>
        <w:t xml:space="preserve"> ordinaire</w:t>
      </w:r>
      <w:r w:rsidR="003634E1">
        <w:rPr>
          <w:rFonts w:ascii="Times" w:eastAsia="細明體" w:hAnsi="Times"/>
          <w:color w:val="3366FF"/>
          <w:sz w:val="20"/>
          <w:szCs w:val="20"/>
        </w:rPr>
        <w:t>s</w:t>
      </w:r>
      <w:r w:rsidR="00304543" w:rsidRPr="00304543">
        <w:rPr>
          <w:rFonts w:ascii="Times" w:eastAsia="細明體" w:hAnsi="Times"/>
          <w:color w:val="3366FF"/>
          <w:sz w:val="20"/>
          <w:szCs w:val="20"/>
        </w:rPr>
        <w:t xml:space="preserve">. </w:t>
      </w:r>
    </w:p>
    <w:p w14:paraId="40D64967" w14:textId="77777777" w:rsidR="00D71C01" w:rsidRDefault="00D71C01" w:rsidP="006E25DC">
      <w:pPr>
        <w:rPr>
          <w:rFonts w:ascii="細明體" w:eastAsia="細明體" w:hAnsi="細明體"/>
          <w:sz w:val="28"/>
          <w:szCs w:val="28"/>
          <w:lang w:val="en-US"/>
        </w:rPr>
      </w:pPr>
    </w:p>
    <w:p w14:paraId="47CC15D8" w14:textId="77777777" w:rsidR="00B4135B" w:rsidRPr="00B4135B" w:rsidRDefault="00B4135B" w:rsidP="006E25DC">
      <w:pPr>
        <w:rPr>
          <w:rFonts w:ascii="Times" w:eastAsia="細明體" w:hAnsi="Times"/>
          <w:sz w:val="28"/>
          <w:szCs w:val="28"/>
        </w:rPr>
      </w:pPr>
    </w:p>
    <w:p w14:paraId="2EBB77B5" w14:textId="77777777" w:rsidR="00B4135B" w:rsidRPr="00B4135B" w:rsidRDefault="00B4135B" w:rsidP="006E25DC">
      <w:pPr>
        <w:rPr>
          <w:rFonts w:ascii="Times" w:eastAsia="細明體" w:hAnsi="Times"/>
          <w:sz w:val="28"/>
          <w:szCs w:val="28"/>
          <w:lang w:val="en-US"/>
        </w:rPr>
      </w:pPr>
    </w:p>
    <w:p w14:paraId="7EDE8E69" w14:textId="77777777" w:rsidR="00B4135B" w:rsidRPr="006D7A71" w:rsidRDefault="00B4135B" w:rsidP="006E25DC">
      <w:pPr>
        <w:rPr>
          <w:rFonts w:ascii="Times" w:eastAsia="細明體" w:hAnsi="Times"/>
          <w:sz w:val="28"/>
          <w:szCs w:val="28"/>
          <w:lang w:val="en-US"/>
        </w:rPr>
      </w:pPr>
    </w:p>
    <w:p w14:paraId="73402F38" w14:textId="77777777" w:rsidR="006E25DC" w:rsidRPr="006D7A71" w:rsidRDefault="0010563C" w:rsidP="006E25DC">
      <w:pPr>
        <w:rPr>
          <w:rFonts w:ascii="Times" w:eastAsia="細明體" w:hAnsi="Times"/>
          <w:sz w:val="28"/>
          <w:szCs w:val="28"/>
          <w:lang w:val="en-US"/>
        </w:rPr>
      </w:pPr>
      <w:hyperlink r:id="rId7" w:history="1">
        <w:r w:rsidR="006E25DC" w:rsidRPr="006D7A71">
          <w:rPr>
            <w:rFonts w:ascii="Times" w:eastAsia="細明體" w:hAnsi="Times"/>
            <w:color w:val="0000FF"/>
            <w:sz w:val="28"/>
            <w:szCs w:val="28"/>
            <w:u w:val="single"/>
            <w:lang w:val="en-US"/>
          </w:rPr>
          <w:t>律</w:t>
        </w:r>
        <w:r w:rsidR="006E25DC" w:rsidRPr="006D7A71">
          <w:rPr>
            <w:rFonts w:ascii="Times" w:eastAsia="細明體" w:hAnsi="Times"/>
            <w:color w:val="0000FF"/>
            <w:sz w:val="28"/>
            <w:szCs w:val="28"/>
            <w:u w:val="single"/>
            <w:lang w:val="en-US"/>
          </w:rPr>
          <w:t>/</w:t>
        </w:r>
        <w:proofErr w:type="spellStart"/>
        <w:r w:rsidR="006E25DC" w:rsidRPr="006D7A71">
          <w:rPr>
            <w:rFonts w:ascii="Times" w:eastAsia="細明體" w:hAnsi="Times"/>
            <w:color w:val="0000FF"/>
            <w:sz w:val="28"/>
            <w:szCs w:val="28"/>
            <w:u w:val="single"/>
            <w:lang w:val="en-US"/>
          </w:rPr>
          <w:t>lü</w:t>
        </w:r>
        <w:proofErr w:type="spellEnd"/>
        <w:r w:rsidR="006E25DC" w:rsidRPr="006D7A71">
          <w:rPr>
            <w:rFonts w:ascii="Times" w:eastAsia="細明體" w:hAnsi="Times"/>
            <w:color w:val="0000FF"/>
            <w:sz w:val="28"/>
            <w:szCs w:val="28"/>
            <w:u w:val="single"/>
            <w:lang w:val="en-US"/>
          </w:rPr>
          <w:t xml:space="preserve"> 36 | </w:t>
        </w:r>
        <w:proofErr w:type="spellStart"/>
        <w:r w:rsidR="006E25DC" w:rsidRPr="006D7A71">
          <w:rPr>
            <w:rFonts w:ascii="Times" w:eastAsia="細明體" w:hAnsi="Times"/>
            <w:color w:val="0000FF"/>
            <w:sz w:val="28"/>
            <w:szCs w:val="28"/>
            <w:u w:val="single"/>
            <w:lang w:val="en-US"/>
          </w:rPr>
          <w:t>Jiajian</w:t>
        </w:r>
        <w:proofErr w:type="spellEnd"/>
        <w:r w:rsidR="006E25DC" w:rsidRPr="006D7A71">
          <w:rPr>
            <w:rFonts w:ascii="Times" w:eastAsia="細明體" w:hAnsi="Times"/>
            <w:color w:val="0000FF"/>
            <w:sz w:val="28"/>
            <w:szCs w:val="28"/>
            <w:u w:val="single"/>
            <w:lang w:val="en-US"/>
          </w:rPr>
          <w:t xml:space="preserve"> </w:t>
        </w:r>
        <w:proofErr w:type="spellStart"/>
        <w:r w:rsidR="006E25DC" w:rsidRPr="006D7A71">
          <w:rPr>
            <w:rFonts w:ascii="Times" w:eastAsia="細明體" w:hAnsi="Times"/>
            <w:color w:val="0000FF"/>
            <w:sz w:val="28"/>
            <w:szCs w:val="28"/>
            <w:u w:val="single"/>
            <w:lang w:val="en-US"/>
          </w:rPr>
          <w:t>zuili</w:t>
        </w:r>
        <w:proofErr w:type="spellEnd"/>
        <w:r w:rsidR="006E25DC" w:rsidRPr="006D7A71">
          <w:rPr>
            <w:rFonts w:ascii="Times" w:eastAsia="細明體" w:hAnsi="Times"/>
            <w:color w:val="0000FF"/>
            <w:sz w:val="28"/>
            <w:szCs w:val="28"/>
            <w:u w:val="single"/>
            <w:lang w:val="en-US"/>
          </w:rPr>
          <w:t xml:space="preserve"> </w:t>
        </w:r>
        <w:r w:rsidR="006E25DC" w:rsidRPr="006D7A71">
          <w:rPr>
            <w:rFonts w:ascii="Times" w:eastAsia="細明體" w:hAnsi="Times"/>
            <w:color w:val="0000FF"/>
            <w:sz w:val="28"/>
            <w:szCs w:val="28"/>
            <w:u w:val="single"/>
            <w:lang w:val="en-US"/>
          </w:rPr>
          <w:t>加減罪例</w:t>
        </w:r>
      </w:hyperlink>
    </w:p>
    <w:p w14:paraId="0060693D" w14:textId="77777777" w:rsidR="00DE6B0B" w:rsidRDefault="006E25DC" w:rsidP="006E25DC">
      <w:pPr>
        <w:rPr>
          <w:rFonts w:ascii="細明體" w:eastAsia="細明體" w:hAnsi="細明體" w:cs="Lantinghei TC Heavy"/>
          <w:color w:val="3370FF"/>
          <w:sz w:val="28"/>
          <w:szCs w:val="28"/>
          <w:vertAlign w:val="subscript"/>
          <w:lang w:val="en-US"/>
        </w:rPr>
      </w:pPr>
      <w:r w:rsidRPr="006E25DC">
        <w:rPr>
          <w:rFonts w:ascii="細明體" w:eastAsia="細明體" w:hAnsi="細明體" w:cs="Lantinghei TC Heavy"/>
          <w:sz w:val="28"/>
          <w:szCs w:val="28"/>
          <w:lang w:val="en-US"/>
        </w:rPr>
        <w:t>凡稱</w:t>
      </w:r>
      <w:r w:rsidRPr="006E25DC">
        <w:rPr>
          <w:rFonts w:ascii="細明體" w:eastAsia="細明體" w:hAnsi="細明體" w:cs="Lantinghei TC Extralight"/>
          <w:sz w:val="28"/>
          <w:szCs w:val="28"/>
          <w:lang w:val="en-US"/>
        </w:rPr>
        <w:t>「</w:t>
      </w:r>
      <w:r w:rsidRPr="006E25DC">
        <w:rPr>
          <w:rFonts w:ascii="細明體" w:eastAsia="細明體" w:hAnsi="細明體" w:cs="Lantinghei TC Heavy"/>
          <w:sz w:val="28"/>
          <w:szCs w:val="28"/>
          <w:lang w:val="en-US"/>
        </w:rPr>
        <w:t>加</w:t>
      </w:r>
      <w:r w:rsidRPr="006E25DC">
        <w:rPr>
          <w:rFonts w:ascii="細明體" w:eastAsia="細明體" w:hAnsi="細明體" w:cs="Lantinghei TC Extralight"/>
          <w:sz w:val="28"/>
          <w:szCs w:val="28"/>
          <w:lang w:val="en-US"/>
        </w:rPr>
        <w:t>」</w:t>
      </w:r>
      <w:r w:rsidRPr="006E25DC">
        <w:rPr>
          <w:rFonts w:ascii="細明體" w:eastAsia="細明體" w:hAnsi="細明體" w:cs="Lantinghei TC Heavy"/>
          <w:sz w:val="28"/>
          <w:szCs w:val="28"/>
          <w:lang w:val="en-US"/>
        </w:rPr>
        <w:t>者，就本罪上加重。</w:t>
      </w:r>
      <w:r w:rsidRPr="006E25DC">
        <w:rPr>
          <w:rFonts w:ascii="細明體" w:eastAsia="細明體" w:hAnsi="細明體" w:cs="Lantinghei TC Heavy"/>
          <w:color w:val="3370FF"/>
          <w:sz w:val="28"/>
          <w:szCs w:val="28"/>
          <w:vertAlign w:val="subscript"/>
          <w:lang w:val="en-US"/>
        </w:rPr>
        <w:t>謂如人犯笞四十，加一等，即坐笞五十。或犯杖一百，加一等，則加徒減杖，即坐杖六十、徒一年。或犯杖六十、徒一年，加一等，即坐杖七十、徒一年半。或犯杖一百、徒三年，加一等。即坐杖一百、流二千里。或犯杖一百、流二千里，加一等，即坐杖一百，流二千五百里之類。</w:t>
      </w:r>
      <w:r w:rsidRPr="006E25DC">
        <w:rPr>
          <w:rFonts w:ascii="細明體" w:eastAsia="細明體" w:hAnsi="細明體" w:cs="Lantinghei TC Heavy"/>
          <w:sz w:val="28"/>
          <w:szCs w:val="28"/>
          <w:lang w:val="en-US"/>
        </w:rPr>
        <w:t>稱</w:t>
      </w:r>
      <w:r w:rsidRPr="006E25DC">
        <w:rPr>
          <w:rFonts w:ascii="細明體" w:eastAsia="細明體" w:hAnsi="細明體" w:cs="Lantinghei TC Extralight"/>
          <w:sz w:val="28"/>
          <w:szCs w:val="28"/>
          <w:lang w:val="en-US"/>
        </w:rPr>
        <w:t>「</w:t>
      </w:r>
      <w:r w:rsidRPr="006E25DC">
        <w:rPr>
          <w:rFonts w:ascii="細明體" w:eastAsia="細明體" w:hAnsi="細明體" w:cs="Lantinghei TC Heavy"/>
          <w:sz w:val="28"/>
          <w:szCs w:val="28"/>
          <w:lang w:val="en-US"/>
        </w:rPr>
        <w:t>減</w:t>
      </w:r>
      <w:r w:rsidRPr="006E25DC">
        <w:rPr>
          <w:rFonts w:ascii="細明體" w:eastAsia="細明體" w:hAnsi="細明體" w:cs="Lantinghei TC Extralight"/>
          <w:sz w:val="28"/>
          <w:szCs w:val="28"/>
          <w:lang w:val="en-US"/>
        </w:rPr>
        <w:t>」</w:t>
      </w:r>
      <w:r w:rsidRPr="006E25DC">
        <w:rPr>
          <w:rFonts w:ascii="細明體" w:eastAsia="細明體" w:hAnsi="細明體" w:cs="Lantinghei TC Heavy"/>
          <w:sz w:val="28"/>
          <w:szCs w:val="28"/>
          <w:lang w:val="en-US"/>
        </w:rPr>
        <w:t>者，就本罪上減輕。</w:t>
      </w:r>
      <w:r w:rsidRPr="006E25DC">
        <w:rPr>
          <w:rFonts w:ascii="細明體" w:eastAsia="細明體" w:hAnsi="細明體" w:cs="Lantinghei TC Heavy"/>
          <w:color w:val="3370FF"/>
          <w:sz w:val="28"/>
          <w:szCs w:val="28"/>
          <w:vertAlign w:val="subscript"/>
          <w:lang w:val="en-US"/>
        </w:rPr>
        <w:t>謂如人犯笞五十，減一等，即坐笞四十。或犯杖六十、徒一年，減一等，即坐杖一百。或犯杖一百、徒三年，減一等，即坐杖九十、徒二年半之類。</w:t>
      </w:r>
      <w:r w:rsidRPr="006E25DC">
        <w:rPr>
          <w:rFonts w:ascii="細明體" w:eastAsia="細明體" w:hAnsi="細明體" w:cs="Lantinghei TC Heavy"/>
          <w:sz w:val="28"/>
          <w:szCs w:val="28"/>
          <w:lang w:val="en-US"/>
        </w:rPr>
        <w:t>惟二死、三流，各同為一減。</w:t>
      </w:r>
      <w:r w:rsidRPr="006E25DC">
        <w:rPr>
          <w:rFonts w:ascii="細明體" w:eastAsia="細明體" w:hAnsi="細明體" w:cs="Lantinghei TC Heavy"/>
          <w:color w:val="3370FF"/>
          <w:sz w:val="28"/>
          <w:szCs w:val="28"/>
          <w:vertAlign w:val="subscript"/>
          <w:lang w:val="en-US"/>
        </w:rPr>
        <w:t>二死謂絞、斬，三流謂流二千里、二千五百里、三千里，各同為一減，如犯死罪減一等，即坐流三千里；減二等，即坐徒三年。犯流三千里，減一等，亦坐徒三年。</w:t>
      </w:r>
      <w:r w:rsidRPr="00C13CF0">
        <w:rPr>
          <w:rFonts w:ascii="細明體" w:eastAsia="細明體" w:hAnsi="細明體" w:cs="Lantinghei TC Heavy"/>
          <w:color w:val="FF0000"/>
          <w:sz w:val="28"/>
          <w:szCs w:val="28"/>
          <w:lang w:val="en-US"/>
        </w:rPr>
        <w:t>加者，數滿乃坐</w:t>
      </w:r>
      <w:r w:rsidRPr="006E25DC">
        <w:rPr>
          <w:rFonts w:ascii="細明體" w:eastAsia="細明體" w:hAnsi="細明體" w:cs="Lantinghei TC Heavy"/>
          <w:sz w:val="28"/>
          <w:szCs w:val="28"/>
          <w:lang w:val="en-US"/>
        </w:rPr>
        <w:t>。</w:t>
      </w:r>
      <w:r w:rsidRPr="006E25DC">
        <w:rPr>
          <w:rFonts w:ascii="細明體" w:eastAsia="細明體" w:hAnsi="細明體" w:cs="Lantinghei TC Heavy"/>
          <w:color w:val="3370FF"/>
          <w:sz w:val="28"/>
          <w:szCs w:val="28"/>
          <w:vertAlign w:val="subscript"/>
          <w:lang w:val="en-US"/>
        </w:rPr>
        <w:t>謂如贜加至四十兩，縱至三十九兩九錢九分，雖少一分，亦</w:t>
      </w:r>
      <w:r w:rsidRPr="006E25DC">
        <w:rPr>
          <w:rFonts w:ascii="細明體" w:eastAsia="細明體" w:hAnsi="細明體" w:cs="Lantinghei TC Heavy"/>
          <w:color w:val="3370FF"/>
          <w:sz w:val="28"/>
          <w:szCs w:val="28"/>
          <w:vertAlign w:val="subscript"/>
          <w:lang w:val="en-US"/>
        </w:rPr>
        <w:lastRenderedPageBreak/>
        <w:t>不得科四十兩罪之類。</w:t>
      </w:r>
      <w:r w:rsidRPr="006E25DC">
        <w:rPr>
          <w:rFonts w:ascii="細明體" w:eastAsia="細明體" w:hAnsi="細明體" w:cs="Lantinghei TC Heavy"/>
          <w:sz w:val="28"/>
          <w:szCs w:val="28"/>
          <w:lang w:val="en-US"/>
        </w:rPr>
        <w:t>又加罪止於杖一百、流三千里，不得加至於死；本條加入死者，依本條。</w:t>
      </w:r>
      <w:r w:rsidRPr="006E25DC">
        <w:rPr>
          <w:rFonts w:ascii="細明體" w:eastAsia="細明體" w:hAnsi="細明體" w:cs="Lantinghei TC Heavy"/>
          <w:color w:val="3370FF"/>
          <w:sz w:val="28"/>
          <w:szCs w:val="28"/>
          <w:vertAlign w:val="subscript"/>
          <w:lang w:val="en-US"/>
        </w:rPr>
        <w:t>加入絞者，不加至斬。</w:t>
      </w:r>
    </w:p>
    <w:p w14:paraId="0DB2003C" w14:textId="77777777" w:rsidR="00DE6B0B" w:rsidRDefault="00DE6B0B" w:rsidP="006E25DC">
      <w:pPr>
        <w:rPr>
          <w:rFonts w:ascii="細明體" w:eastAsia="細明體" w:hAnsi="細明體" w:cs="Lantinghei TC Heavy"/>
          <w:color w:val="3370FF"/>
          <w:sz w:val="28"/>
          <w:szCs w:val="28"/>
          <w:vertAlign w:val="subscript"/>
          <w:lang w:val="en-US"/>
        </w:rPr>
      </w:pPr>
    </w:p>
    <w:p w14:paraId="00BFC4AF" w14:textId="00C35804" w:rsidR="00DE6B0B" w:rsidRDefault="00775491" w:rsidP="006E25DC">
      <w:pPr>
        <w:rPr>
          <w:rFonts w:ascii="Times" w:eastAsia="細明體" w:hAnsi="Times"/>
          <w:sz w:val="28"/>
          <w:szCs w:val="28"/>
        </w:rPr>
      </w:pPr>
      <w:r w:rsidRPr="00775491">
        <w:rPr>
          <w:rFonts w:ascii="Times" w:eastAsia="細明體" w:hAnsi="Times"/>
          <w:b/>
          <w:sz w:val="28"/>
          <w:szCs w:val="28"/>
        </w:rPr>
        <w:t>Règle pour a</w:t>
      </w:r>
      <w:r w:rsidR="00945370">
        <w:rPr>
          <w:rFonts w:ascii="Times" w:eastAsia="細明體" w:hAnsi="Times"/>
          <w:b/>
          <w:sz w:val="28"/>
          <w:szCs w:val="28"/>
        </w:rPr>
        <w:t>ggraver</w:t>
      </w:r>
      <w:r w:rsidRPr="00775491">
        <w:rPr>
          <w:rFonts w:ascii="Times" w:eastAsia="細明體" w:hAnsi="Times"/>
          <w:b/>
          <w:sz w:val="28"/>
          <w:szCs w:val="28"/>
        </w:rPr>
        <w:t xml:space="preserve"> ou </w:t>
      </w:r>
      <w:r w:rsidR="00945370">
        <w:rPr>
          <w:rFonts w:ascii="Times" w:eastAsia="細明體" w:hAnsi="Times"/>
          <w:b/>
          <w:sz w:val="28"/>
          <w:szCs w:val="28"/>
        </w:rPr>
        <w:t>atténuer</w:t>
      </w:r>
      <w:r w:rsidRPr="00775491">
        <w:rPr>
          <w:rFonts w:ascii="Times" w:eastAsia="細明體" w:hAnsi="Times"/>
          <w:b/>
          <w:sz w:val="28"/>
          <w:szCs w:val="28"/>
        </w:rPr>
        <w:t xml:space="preserve"> les</w:t>
      </w:r>
      <w:r w:rsidR="00DE6B0B" w:rsidRPr="00775491">
        <w:rPr>
          <w:rFonts w:ascii="Times" w:eastAsia="細明體" w:hAnsi="Times"/>
          <w:b/>
          <w:sz w:val="28"/>
          <w:szCs w:val="28"/>
        </w:rPr>
        <w:t xml:space="preserve"> peine</w:t>
      </w:r>
      <w:r w:rsidRPr="00775491">
        <w:rPr>
          <w:rFonts w:ascii="Times" w:eastAsia="細明體" w:hAnsi="Times"/>
          <w:b/>
          <w:sz w:val="28"/>
          <w:szCs w:val="28"/>
        </w:rPr>
        <w:t>s</w:t>
      </w:r>
      <w:r w:rsidR="00DE6B0B">
        <w:rPr>
          <w:rFonts w:ascii="Times" w:eastAsia="細明體" w:hAnsi="Times"/>
          <w:sz w:val="28"/>
          <w:szCs w:val="28"/>
        </w:rPr>
        <w:t xml:space="preserve"> (ou bien « </w:t>
      </w:r>
      <w:r w:rsidR="00DE6B0B" w:rsidRPr="00775491">
        <w:rPr>
          <w:rFonts w:ascii="Times" w:eastAsia="細明體" w:hAnsi="Times"/>
          <w:color w:val="FF0000"/>
          <w:sz w:val="28"/>
          <w:szCs w:val="28"/>
        </w:rPr>
        <w:t>Élever ou abaisser</w:t>
      </w:r>
      <w:r w:rsidR="00DE6B0B" w:rsidRPr="00DE6B0B">
        <w:rPr>
          <w:rFonts w:ascii="Times" w:eastAsia="細明體" w:hAnsi="Times"/>
          <w:sz w:val="28"/>
          <w:szCs w:val="28"/>
        </w:rPr>
        <w:t xml:space="preserve"> la peine</w:t>
      </w:r>
      <w:r w:rsidR="00DE6B0B">
        <w:rPr>
          <w:rFonts w:ascii="Times" w:eastAsia="細明體" w:hAnsi="Times"/>
          <w:sz w:val="28"/>
          <w:szCs w:val="28"/>
        </w:rPr>
        <w:t xml:space="preserve"> » ? </w:t>
      </w:r>
      <w:r w:rsidR="00945370" w:rsidRPr="00945370">
        <w:rPr>
          <w:rFonts w:ascii="Times" w:eastAsia="細明體" w:hAnsi="Times"/>
          <w:color w:val="FF0000"/>
          <w:sz w:val="28"/>
          <w:szCs w:val="28"/>
        </w:rPr>
        <w:t>voir glossaire</w:t>
      </w:r>
      <w:r w:rsidR="00945370">
        <w:rPr>
          <w:rFonts w:ascii="Times" w:eastAsia="細明體" w:hAnsi="Times"/>
          <w:sz w:val="28"/>
          <w:szCs w:val="28"/>
        </w:rPr>
        <w:t>)</w:t>
      </w:r>
    </w:p>
    <w:p w14:paraId="57E928F9" w14:textId="0FB0A7AD" w:rsidR="00DE6B0B" w:rsidRPr="00DE6B0B" w:rsidRDefault="00DE6B0B" w:rsidP="006E25DC">
      <w:pPr>
        <w:rPr>
          <w:rFonts w:ascii="Times" w:eastAsia="細明體" w:hAnsi="Times"/>
          <w:sz w:val="28"/>
          <w:szCs w:val="28"/>
        </w:rPr>
      </w:pPr>
      <w:r>
        <w:rPr>
          <w:rFonts w:ascii="Times" w:eastAsia="細明體" w:hAnsi="Times"/>
          <w:sz w:val="28"/>
          <w:szCs w:val="28"/>
        </w:rPr>
        <w:t>Chaque fois qu’est employée l’expression « augmenter », elle signifie que la peine prévue</w:t>
      </w:r>
      <w:r w:rsidR="00775491">
        <w:rPr>
          <w:rFonts w:ascii="Times" w:eastAsia="細明體" w:hAnsi="Times"/>
          <w:sz w:val="28"/>
          <w:szCs w:val="28"/>
        </w:rPr>
        <w:t xml:space="preserve"> pour une certaine infraction</w:t>
      </w:r>
      <w:r w:rsidR="00567819">
        <w:rPr>
          <w:rFonts w:ascii="Times" w:eastAsia="細明體" w:hAnsi="Times"/>
          <w:sz w:val="28"/>
          <w:szCs w:val="28"/>
        </w:rPr>
        <w:t xml:space="preserve"> </w:t>
      </w:r>
      <w:r w:rsidR="00775491">
        <w:rPr>
          <w:rFonts w:ascii="Times" w:eastAsia="細明體" w:hAnsi="Times"/>
          <w:sz w:val="28"/>
          <w:szCs w:val="28"/>
        </w:rPr>
        <w:t>doit être aggravée</w:t>
      </w:r>
      <w:r>
        <w:rPr>
          <w:rFonts w:ascii="Times" w:eastAsia="細明體" w:hAnsi="Times"/>
          <w:sz w:val="28"/>
          <w:szCs w:val="28"/>
        </w:rPr>
        <w:t xml:space="preserve">. </w:t>
      </w:r>
      <w:r w:rsidRPr="00567819">
        <w:rPr>
          <w:rFonts w:ascii="Times" w:eastAsia="細明體" w:hAnsi="Times"/>
          <w:color w:val="548DD4" w:themeColor="text2" w:themeTint="99"/>
          <w:sz w:val="20"/>
          <w:szCs w:val="20"/>
        </w:rPr>
        <w:t>Par exemple : si quelqu’un a commis une infraction passible de quarante coups de férule, augmenter d’un degré signifie qu’il doit recevoir cinquante coups. Ou bien si quelqu’un qui est passible de cent coups de bâton, augmenter d’un degré signifie qu’on ajoute la servitude en diminuant le nombre de coups de bâton, soit soixante coups de bâton et un an de servitude ; si l’on augmente encore d’un degré, cela donne soixante-dix coups de bâton et un an et demi de servitude. Une fois arrivé à cent coups de bâton et trois ans de servitude, si l’on augmente encore d’un degré, cela donne cent coups de bâton et exil à 2000 li ; augmenter encore d’un degré</w:t>
      </w:r>
      <w:r w:rsidR="00567819" w:rsidRPr="00567819">
        <w:rPr>
          <w:rFonts w:ascii="Times" w:eastAsia="細明體" w:hAnsi="Times"/>
          <w:color w:val="548DD4" w:themeColor="text2" w:themeTint="99"/>
          <w:sz w:val="20"/>
          <w:szCs w:val="20"/>
        </w:rPr>
        <w:t xml:space="preserve">, cela donne cent coups de bâton et exil à 2500 li, etc. </w:t>
      </w:r>
      <w:r w:rsidR="00567819">
        <w:rPr>
          <w:rFonts w:ascii="Times" w:eastAsia="細明體" w:hAnsi="Times"/>
          <w:sz w:val="28"/>
          <w:szCs w:val="28"/>
        </w:rPr>
        <w:t>L’expression « </w:t>
      </w:r>
      <w:r w:rsidR="00945370">
        <w:rPr>
          <w:rFonts w:ascii="Times" w:eastAsia="細明體" w:hAnsi="Times"/>
          <w:sz w:val="28"/>
          <w:szCs w:val="28"/>
        </w:rPr>
        <w:t>atténuer</w:t>
      </w:r>
      <w:r w:rsidR="00567819">
        <w:rPr>
          <w:rFonts w:ascii="Times" w:eastAsia="細明體" w:hAnsi="Times"/>
          <w:sz w:val="28"/>
          <w:szCs w:val="28"/>
        </w:rPr>
        <w:t xml:space="preserve"> » signifie que la peine prévue </w:t>
      </w:r>
      <w:r w:rsidR="00775491">
        <w:rPr>
          <w:rFonts w:ascii="Times" w:eastAsia="細明體" w:hAnsi="Times"/>
          <w:sz w:val="28"/>
          <w:szCs w:val="28"/>
        </w:rPr>
        <w:t xml:space="preserve">pour une certaine infraction </w:t>
      </w:r>
      <w:r w:rsidR="00567819">
        <w:rPr>
          <w:rFonts w:ascii="Times" w:eastAsia="細明體" w:hAnsi="Times"/>
          <w:sz w:val="28"/>
          <w:szCs w:val="28"/>
        </w:rPr>
        <w:t xml:space="preserve">doit être allégée. </w:t>
      </w:r>
      <w:r w:rsidR="00567819" w:rsidRPr="00934FFA">
        <w:rPr>
          <w:rFonts w:ascii="Times" w:eastAsia="細明體" w:hAnsi="Times"/>
          <w:color w:val="3366FF"/>
          <w:sz w:val="20"/>
          <w:szCs w:val="20"/>
        </w:rPr>
        <w:t xml:space="preserve">Par exemple : si quelqu’un a commis une infraction passible de cinquante coups de férule, réduire d’un degré signifie qu’il </w:t>
      </w:r>
      <w:r w:rsidR="00934FFA" w:rsidRPr="00934FFA">
        <w:rPr>
          <w:rFonts w:ascii="Times" w:eastAsia="細明體" w:hAnsi="Times"/>
          <w:color w:val="3366FF"/>
          <w:sz w:val="20"/>
          <w:szCs w:val="20"/>
        </w:rPr>
        <w:t>est passible de</w:t>
      </w:r>
      <w:r w:rsidR="00567819" w:rsidRPr="00934FFA">
        <w:rPr>
          <w:rFonts w:ascii="Times" w:eastAsia="細明體" w:hAnsi="Times"/>
          <w:color w:val="3366FF"/>
          <w:sz w:val="20"/>
          <w:szCs w:val="20"/>
        </w:rPr>
        <w:t xml:space="preserve"> quarante coups. Ou bien, pour une infraction passible de soixante coups de bâton et un an de servitude, réduire d’un degré signifie</w:t>
      </w:r>
      <w:r w:rsidR="00934FFA" w:rsidRPr="00934FFA">
        <w:rPr>
          <w:rFonts w:ascii="Times" w:eastAsia="細明體" w:hAnsi="Times"/>
          <w:color w:val="3366FF"/>
          <w:sz w:val="20"/>
          <w:szCs w:val="20"/>
        </w:rPr>
        <w:t xml:space="preserve"> condamner à  cent coups de bâton ; une infraction passible de cent coups de bâton et trois ans de servitude, réduite d’un degré, signifie quatre vingt dix coups de bâton et deux ans et demi de servitude</w:t>
      </w:r>
      <w:r w:rsidR="00934FFA">
        <w:rPr>
          <w:rFonts w:ascii="Times" w:eastAsia="細明體" w:hAnsi="Times"/>
          <w:sz w:val="28"/>
          <w:szCs w:val="28"/>
        </w:rPr>
        <w:t xml:space="preserve">. Cependant, les deux peines de mort, les trois peines d’exil, comptent chacune pour un degré de réduction. </w:t>
      </w:r>
      <w:r w:rsidR="00E47125" w:rsidRPr="00E47125">
        <w:rPr>
          <w:rFonts w:ascii="Times" w:eastAsia="細明體" w:hAnsi="Times"/>
          <w:color w:val="3366FF"/>
          <w:sz w:val="20"/>
          <w:szCs w:val="20"/>
        </w:rPr>
        <w:t>Les deux peines de mort, c’est-à-dire la strangulation et la décapitation ; les trois peines d’exil, c’est-à-dire à 2000, 2500 et 3000 li, qui comptent toutes chacune pour un degré. Ainsi, pour un crime passible de la peine de mort, réduire d’un degré signifie condamner à l’exil de 3000 li ; réduire d’encore un</w:t>
      </w:r>
      <w:r w:rsidR="00E47125">
        <w:rPr>
          <w:rFonts w:ascii="Times" w:eastAsia="細明體" w:hAnsi="Times"/>
          <w:color w:val="3366FF"/>
          <w:sz w:val="20"/>
          <w:szCs w:val="20"/>
        </w:rPr>
        <w:t xml:space="preserve"> degré revient à condamner à </w:t>
      </w:r>
      <w:r w:rsidR="00E47125" w:rsidRPr="00E47125">
        <w:rPr>
          <w:rFonts w:ascii="Times" w:eastAsia="細明體" w:hAnsi="Times"/>
          <w:color w:val="3366FF"/>
          <w:sz w:val="20"/>
          <w:szCs w:val="20"/>
        </w:rPr>
        <w:t>trois ans de servitude. Pour un crime passible de l’exil à 3000 li, réduire d’un degré revien</w:t>
      </w:r>
      <w:r w:rsidR="00E47125">
        <w:rPr>
          <w:rFonts w:ascii="Times" w:eastAsia="細明體" w:hAnsi="Times"/>
          <w:color w:val="3366FF"/>
          <w:sz w:val="20"/>
          <w:szCs w:val="20"/>
        </w:rPr>
        <w:t>t encore</w:t>
      </w:r>
      <w:r w:rsidR="00E47125" w:rsidRPr="00E47125">
        <w:rPr>
          <w:rFonts w:ascii="Times" w:eastAsia="細明體" w:hAnsi="Times"/>
          <w:color w:val="3366FF"/>
          <w:sz w:val="20"/>
          <w:szCs w:val="20"/>
        </w:rPr>
        <w:t xml:space="preserve"> à condamner à trois ans de servitude</w:t>
      </w:r>
      <w:r w:rsidR="00D72547">
        <w:rPr>
          <w:rFonts w:ascii="Times" w:eastAsia="細明體" w:hAnsi="Times"/>
          <w:sz w:val="28"/>
          <w:szCs w:val="28"/>
        </w:rPr>
        <w:t>.</w:t>
      </w:r>
      <w:r w:rsidR="00C0498C">
        <w:rPr>
          <w:rFonts w:ascii="Times" w:eastAsia="細明體" w:hAnsi="Times"/>
          <w:sz w:val="28"/>
          <w:szCs w:val="28"/>
        </w:rPr>
        <w:t xml:space="preserve"> </w:t>
      </w:r>
      <w:r w:rsidR="009E73E7" w:rsidRPr="00C13CF0">
        <w:rPr>
          <w:rFonts w:ascii="Times" w:eastAsia="細明體" w:hAnsi="Times"/>
          <w:color w:val="FF0000"/>
          <w:sz w:val="28"/>
          <w:szCs w:val="28"/>
        </w:rPr>
        <w:t>L</w:t>
      </w:r>
      <w:r w:rsidR="00C13CF0" w:rsidRPr="00C13CF0">
        <w:rPr>
          <w:rFonts w:ascii="Times" w:eastAsia="細明體" w:hAnsi="Times"/>
          <w:color w:val="FF0000"/>
          <w:sz w:val="28"/>
          <w:szCs w:val="28"/>
        </w:rPr>
        <w:t>’augmentation n’a d’effet sur la peine</w:t>
      </w:r>
      <w:r w:rsidR="00C13CF0">
        <w:rPr>
          <w:rFonts w:ascii="Times" w:eastAsia="細明體" w:hAnsi="Times"/>
          <w:sz w:val="28"/>
          <w:szCs w:val="28"/>
        </w:rPr>
        <w:t xml:space="preserve"> (ou sur l’incrimination)</w:t>
      </w:r>
      <w:r w:rsidR="00775491">
        <w:rPr>
          <w:rFonts w:ascii="Times" w:eastAsia="細明體" w:hAnsi="Times"/>
          <w:sz w:val="28"/>
          <w:szCs w:val="28"/>
        </w:rPr>
        <w:t xml:space="preserve"> </w:t>
      </w:r>
      <w:r w:rsidR="00C13CF0">
        <w:rPr>
          <w:rFonts w:ascii="Times" w:eastAsia="細明體" w:hAnsi="Times"/>
          <w:sz w:val="28"/>
          <w:szCs w:val="28"/>
        </w:rPr>
        <w:t>que lorsque la pleine quantité est atteinte</w:t>
      </w:r>
      <w:r w:rsidR="00775491">
        <w:rPr>
          <w:rFonts w:ascii="Times" w:eastAsia="細明體" w:hAnsi="Times"/>
          <w:sz w:val="28"/>
          <w:szCs w:val="28"/>
        </w:rPr>
        <w:t xml:space="preserve"> </w:t>
      </w:r>
      <w:r w:rsidR="00C0498C" w:rsidRPr="0010563C">
        <w:rPr>
          <w:rFonts w:ascii="Times" w:eastAsia="細明體" w:hAnsi="Times"/>
          <w:color w:val="FF0000"/>
          <w:sz w:val="28"/>
          <w:szCs w:val="28"/>
        </w:rPr>
        <w:t>(</w:t>
      </w:r>
      <w:proofErr w:type="spellStart"/>
      <w:r w:rsidR="00C0498C" w:rsidRPr="0010563C">
        <w:rPr>
          <w:rFonts w:ascii="Times" w:eastAsia="細明體" w:hAnsi="Times"/>
          <w:color w:val="FF0000"/>
          <w:sz w:val="28"/>
          <w:szCs w:val="28"/>
        </w:rPr>
        <w:t>Philastre</w:t>
      </w:r>
      <w:proofErr w:type="spellEnd"/>
      <w:r w:rsidR="00C0498C" w:rsidRPr="0010563C">
        <w:rPr>
          <w:rFonts w:ascii="Times" w:eastAsia="細明體" w:hAnsi="Times"/>
          <w:color w:val="FF0000"/>
          <w:sz w:val="28"/>
          <w:szCs w:val="28"/>
        </w:rPr>
        <w:t> </w:t>
      </w:r>
      <w:r w:rsidR="00C0498C">
        <w:rPr>
          <w:rFonts w:ascii="Times" w:eastAsia="細明體" w:hAnsi="Times"/>
          <w:sz w:val="28"/>
          <w:szCs w:val="28"/>
        </w:rPr>
        <w:t>: il faut que la quantité soit complète pour que le coupable soit passible de l’augmentation</w:t>
      </w:r>
      <w:r w:rsidR="006D7A71">
        <w:rPr>
          <w:rFonts w:ascii="Times" w:eastAsia="細明體" w:hAnsi="Times"/>
          <w:sz w:val="28"/>
          <w:szCs w:val="28"/>
        </w:rPr>
        <w:t xml:space="preserve"> ; </w:t>
      </w:r>
      <w:bookmarkStart w:id="0" w:name="_GoBack"/>
      <w:r w:rsidR="006D7A71" w:rsidRPr="0010563C">
        <w:rPr>
          <w:rFonts w:ascii="Times" w:eastAsia="細明體" w:hAnsi="Times"/>
          <w:color w:val="FF0000"/>
          <w:sz w:val="28"/>
          <w:szCs w:val="28"/>
        </w:rPr>
        <w:t>FC</w:t>
      </w:r>
      <w:bookmarkEnd w:id="0"/>
      <w:r w:rsidR="006D7A71">
        <w:rPr>
          <w:rFonts w:ascii="Times" w:eastAsia="細明體" w:hAnsi="Times"/>
          <w:sz w:val="28"/>
          <w:szCs w:val="28"/>
        </w:rPr>
        <w:t xml:space="preserve"> : </w:t>
      </w:r>
      <w:r w:rsidR="006D7A71">
        <w:rPr>
          <w:rFonts w:eastAsia="宋体"/>
          <w:lang w:eastAsia="zh-TW"/>
        </w:rPr>
        <w:t>En cas d’augmentation, on ne condamne que lorsque le nombre plein est attein</w:t>
      </w:r>
      <w:r w:rsidR="006D7A71">
        <w:rPr>
          <w:rFonts w:eastAsia="宋体"/>
          <w:lang w:eastAsia="zh-TW"/>
        </w:rPr>
        <w:t>t</w:t>
      </w:r>
      <w:r w:rsidR="00C0498C" w:rsidRPr="003A661D">
        <w:rPr>
          <w:rFonts w:ascii="Times" w:eastAsia="細明體" w:hAnsi="Times"/>
          <w:sz w:val="28"/>
          <w:szCs w:val="28"/>
        </w:rPr>
        <w:t>)</w:t>
      </w:r>
      <w:r w:rsidR="009E73E7" w:rsidRPr="003A661D">
        <w:rPr>
          <w:rFonts w:ascii="Times" w:eastAsia="細明體" w:hAnsi="Times"/>
          <w:sz w:val="28"/>
          <w:szCs w:val="28"/>
        </w:rPr>
        <w:t xml:space="preserve"> </w:t>
      </w:r>
      <w:r w:rsidR="009E73E7" w:rsidRPr="003A661D">
        <w:rPr>
          <w:rFonts w:ascii="Times" w:eastAsia="細明體" w:hAnsi="Times"/>
          <w:color w:val="3366FF"/>
          <w:sz w:val="20"/>
          <w:szCs w:val="20"/>
        </w:rPr>
        <w:t>c’est</w:t>
      </w:r>
      <w:r w:rsidR="009E73E7" w:rsidRPr="009E73E7">
        <w:rPr>
          <w:rFonts w:ascii="Times" w:eastAsia="細明體" w:hAnsi="Times"/>
          <w:color w:val="3366FF"/>
          <w:sz w:val="20"/>
          <w:szCs w:val="20"/>
        </w:rPr>
        <w:t xml:space="preserve">-à-dire que s’il faut que le gain mal acquis atteigne 40 </w:t>
      </w:r>
      <w:proofErr w:type="spellStart"/>
      <w:r w:rsidR="009E73E7" w:rsidRPr="009E73E7">
        <w:rPr>
          <w:rFonts w:ascii="Times" w:eastAsia="細明體" w:hAnsi="Times"/>
          <w:color w:val="3366FF"/>
          <w:sz w:val="20"/>
          <w:szCs w:val="20"/>
        </w:rPr>
        <w:t>liang</w:t>
      </w:r>
      <w:proofErr w:type="spellEnd"/>
      <w:r w:rsidR="009E73E7" w:rsidRPr="009E73E7">
        <w:rPr>
          <w:rFonts w:ascii="Times" w:eastAsia="細明體" w:hAnsi="Times"/>
          <w:color w:val="3366FF"/>
          <w:sz w:val="20"/>
          <w:szCs w:val="20"/>
        </w:rPr>
        <w:t xml:space="preserve"> pour </w:t>
      </w:r>
      <w:r w:rsidR="009E73E7">
        <w:rPr>
          <w:rFonts w:ascii="Times" w:eastAsia="細明體" w:hAnsi="Times"/>
          <w:color w:val="3366FF"/>
          <w:sz w:val="20"/>
          <w:szCs w:val="20"/>
        </w:rPr>
        <w:t>déclencher</w:t>
      </w:r>
      <w:r w:rsidR="009E73E7" w:rsidRPr="009E73E7">
        <w:rPr>
          <w:rFonts w:ascii="Times" w:eastAsia="細明體" w:hAnsi="Times"/>
          <w:color w:val="3366FF"/>
          <w:sz w:val="20"/>
          <w:szCs w:val="20"/>
        </w:rPr>
        <w:t xml:space="preserve"> l’augmentation, dans un cas où il n’atteint que 39, 99 </w:t>
      </w:r>
      <w:proofErr w:type="spellStart"/>
      <w:r w:rsidR="009E73E7" w:rsidRPr="009E73E7">
        <w:rPr>
          <w:rFonts w:ascii="Times" w:eastAsia="細明體" w:hAnsi="Times"/>
          <w:color w:val="3366FF"/>
          <w:sz w:val="20"/>
          <w:szCs w:val="20"/>
        </w:rPr>
        <w:t>liang</w:t>
      </w:r>
      <w:proofErr w:type="spellEnd"/>
      <w:r w:rsidR="009E73E7" w:rsidRPr="009E73E7">
        <w:rPr>
          <w:rFonts w:ascii="Times" w:eastAsia="細明體" w:hAnsi="Times"/>
          <w:color w:val="3366FF"/>
          <w:sz w:val="20"/>
          <w:szCs w:val="20"/>
        </w:rPr>
        <w:t xml:space="preserve">, même s’il ne manque qu’un centième, il n’est pas possible de prononcer la sentence pour 40 </w:t>
      </w:r>
      <w:proofErr w:type="spellStart"/>
      <w:r w:rsidR="009E73E7" w:rsidRPr="009E73E7">
        <w:rPr>
          <w:rFonts w:ascii="Times" w:eastAsia="細明體" w:hAnsi="Times"/>
          <w:color w:val="3366FF"/>
          <w:sz w:val="20"/>
          <w:szCs w:val="20"/>
        </w:rPr>
        <w:t>liang</w:t>
      </w:r>
      <w:proofErr w:type="spellEnd"/>
      <w:r w:rsidR="009E73E7">
        <w:rPr>
          <w:rFonts w:ascii="Times" w:eastAsia="細明體" w:hAnsi="Times"/>
          <w:sz w:val="28"/>
          <w:szCs w:val="28"/>
        </w:rPr>
        <w:t xml:space="preserve"> et qui plus est, les augmentations s’arrêtent à cent coups de bambou et trois ans d’exil, il n’est pas possible d’augme</w:t>
      </w:r>
      <w:r w:rsidR="00D71C01">
        <w:rPr>
          <w:rFonts w:ascii="Times" w:eastAsia="細明體" w:hAnsi="Times"/>
          <w:sz w:val="28"/>
          <w:szCs w:val="28"/>
        </w:rPr>
        <w:t>nter jusqu’à atteindre la peine de mort. Si l’article applicable à un cas prévoit que l’augmentation peut aller jusqu’à peine de mort, prononcer en vertu de cet article</w:t>
      </w:r>
      <w:r w:rsidR="006D7A71">
        <w:rPr>
          <w:rFonts w:ascii="Times" w:eastAsia="細明體" w:hAnsi="Times"/>
          <w:sz w:val="28"/>
          <w:szCs w:val="28"/>
        </w:rPr>
        <w:t xml:space="preserve"> (cf. </w:t>
      </w:r>
      <w:proofErr w:type="spellStart"/>
      <w:r w:rsidR="006D7A71">
        <w:rPr>
          <w:rFonts w:ascii="Times" w:eastAsia="細明體" w:hAnsi="Times"/>
          <w:sz w:val="28"/>
          <w:szCs w:val="28"/>
        </w:rPr>
        <w:t>Lü</w:t>
      </w:r>
      <w:proofErr w:type="spellEnd"/>
      <w:r w:rsidR="006D7A71">
        <w:rPr>
          <w:rFonts w:ascii="Times" w:eastAsia="細明體" w:hAnsi="Times"/>
          <w:sz w:val="28"/>
          <w:szCs w:val="28"/>
        </w:rPr>
        <w:t xml:space="preserve"> n° 35)</w:t>
      </w:r>
      <w:r w:rsidR="00D71C01">
        <w:rPr>
          <w:rFonts w:ascii="Times" w:eastAsia="細明體" w:hAnsi="Times"/>
          <w:sz w:val="28"/>
          <w:szCs w:val="28"/>
        </w:rPr>
        <w:t xml:space="preserve"> </w:t>
      </w:r>
      <w:r w:rsidR="00D71C01" w:rsidRPr="00D71C01">
        <w:rPr>
          <w:rFonts w:ascii="Times" w:eastAsia="細明體" w:hAnsi="Times"/>
          <w:color w:val="3366FF"/>
          <w:sz w:val="20"/>
          <w:szCs w:val="20"/>
        </w:rPr>
        <w:t xml:space="preserve">l’augmentation va jusqu’à la strangulation, mais pas jusqu’à la décapitation. </w:t>
      </w:r>
      <w:r w:rsidR="00D71C01">
        <w:rPr>
          <w:rFonts w:ascii="Times" w:eastAsia="細明體" w:hAnsi="Times"/>
          <w:sz w:val="28"/>
          <w:szCs w:val="28"/>
        </w:rPr>
        <w:t xml:space="preserve"> </w:t>
      </w:r>
    </w:p>
    <w:p w14:paraId="26D5BBB9" w14:textId="77777777" w:rsidR="00DE6B0B" w:rsidRPr="00775491" w:rsidRDefault="00DE6B0B" w:rsidP="006E25DC">
      <w:pPr>
        <w:rPr>
          <w:rFonts w:ascii="Times" w:eastAsia="細明體" w:hAnsi="Times"/>
          <w:sz w:val="28"/>
          <w:szCs w:val="28"/>
        </w:rPr>
      </w:pPr>
    </w:p>
    <w:p w14:paraId="708F6280" w14:textId="77777777" w:rsidR="00DE6B0B" w:rsidRPr="00DE6B0B" w:rsidRDefault="00DE6B0B" w:rsidP="006E25DC">
      <w:pPr>
        <w:rPr>
          <w:rFonts w:ascii="Times" w:eastAsia="細明體" w:hAnsi="Times"/>
          <w:sz w:val="28"/>
          <w:szCs w:val="28"/>
          <w:lang w:val="en-US"/>
        </w:rPr>
      </w:pPr>
    </w:p>
    <w:p w14:paraId="47C2AE7A" w14:textId="77777777" w:rsidR="006E25DC" w:rsidRPr="006E25DC" w:rsidRDefault="0010563C" w:rsidP="006E25DC">
      <w:pPr>
        <w:ind w:left="300"/>
        <w:rPr>
          <w:rFonts w:ascii="細明體" w:eastAsia="細明體" w:hAnsi="細明體"/>
          <w:sz w:val="28"/>
          <w:szCs w:val="28"/>
          <w:lang w:val="en-US"/>
        </w:rPr>
      </w:pPr>
      <w:hyperlink r:id="rId8" w:history="1">
        <w:r w:rsidR="006E25DC" w:rsidRPr="006E25DC">
          <w:rPr>
            <w:rFonts w:ascii="細明體" w:eastAsia="細明體" w:hAnsi="細明體"/>
            <w:color w:val="0000FF"/>
            <w:sz w:val="28"/>
            <w:szCs w:val="28"/>
            <w:u w:val="single"/>
            <w:lang w:val="en-US"/>
          </w:rPr>
          <w:t>條例/</w:t>
        </w:r>
        <w:proofErr w:type="spellStart"/>
        <w:r w:rsidR="006E25DC" w:rsidRPr="006E25DC">
          <w:rPr>
            <w:rFonts w:ascii="細明體" w:eastAsia="細明體" w:hAnsi="細明體"/>
            <w:color w:val="0000FF"/>
            <w:sz w:val="28"/>
            <w:szCs w:val="28"/>
            <w:u w:val="single"/>
            <w:lang w:val="en-US"/>
          </w:rPr>
          <w:t>tiaoli</w:t>
        </w:r>
        <w:proofErr w:type="spellEnd"/>
        <w:r w:rsidR="006E25DC" w:rsidRPr="006E25DC">
          <w:rPr>
            <w:rFonts w:ascii="細明體" w:eastAsia="細明體" w:hAnsi="細明體"/>
            <w:color w:val="0000FF"/>
            <w:sz w:val="28"/>
            <w:szCs w:val="28"/>
            <w:u w:val="single"/>
            <w:lang w:val="en-US"/>
          </w:rPr>
          <w:t xml:space="preserve"> 1 </w:t>
        </w:r>
      </w:hyperlink>
    </w:p>
    <w:p w14:paraId="12AC6068" w14:textId="77777777" w:rsidR="006E25DC" w:rsidRDefault="006E25DC" w:rsidP="006E25DC">
      <w:pPr>
        <w:rPr>
          <w:rFonts w:ascii="細明體" w:eastAsia="細明體" w:hAnsi="細明體" w:cs="Lantinghei TC Heavy"/>
          <w:sz w:val="28"/>
          <w:szCs w:val="28"/>
          <w:lang w:val="en-US"/>
        </w:rPr>
      </w:pPr>
      <w:r w:rsidRPr="006E25DC">
        <w:rPr>
          <w:rFonts w:ascii="細明體" w:eastAsia="細明體" w:hAnsi="細明體" w:cs="Lantinghei TC Heavy"/>
          <w:sz w:val="28"/>
          <w:szCs w:val="28"/>
          <w:lang w:val="en-US"/>
        </w:rPr>
        <w:t>應擬枷號、杖笞之盜犯，時遇熱審，俱不准減免。</w:t>
      </w:r>
    </w:p>
    <w:p w14:paraId="7A3B40C4" w14:textId="77777777" w:rsidR="003634E1" w:rsidRDefault="003634E1" w:rsidP="006E25DC">
      <w:pPr>
        <w:rPr>
          <w:rFonts w:ascii="細明體" w:eastAsia="細明體" w:hAnsi="細明體" w:cs="Lantinghei TC Heavy"/>
          <w:sz w:val="28"/>
          <w:szCs w:val="28"/>
          <w:lang w:val="en-US"/>
        </w:rPr>
      </w:pPr>
    </w:p>
    <w:p w14:paraId="4E30967D" w14:textId="079E82A7" w:rsidR="003634E1" w:rsidRDefault="003634E1" w:rsidP="006E25DC">
      <w:pPr>
        <w:rPr>
          <w:rFonts w:ascii="Times" w:eastAsia="細明體" w:hAnsi="Times" w:cs="Lantinghei TC Heavy"/>
          <w:sz w:val="28"/>
          <w:szCs w:val="28"/>
        </w:rPr>
      </w:pPr>
      <w:r>
        <w:rPr>
          <w:rFonts w:ascii="Times" w:eastAsia="細明體" w:hAnsi="Times" w:cs="Lantinghei TC Heavy"/>
          <w:sz w:val="28"/>
          <w:szCs w:val="28"/>
        </w:rPr>
        <w:t>Les voleurs condamnés à la cangue, au bâton ou à la férule n’ont droit à aucune diminution ni exemption de peine à l’occasion des Assises d’Été.</w:t>
      </w:r>
    </w:p>
    <w:p w14:paraId="6706F245" w14:textId="77777777" w:rsidR="003634E1" w:rsidRPr="003634E1" w:rsidRDefault="003634E1" w:rsidP="006E25DC">
      <w:pPr>
        <w:rPr>
          <w:rFonts w:ascii="Times" w:eastAsia="細明體" w:hAnsi="Times"/>
          <w:sz w:val="28"/>
          <w:szCs w:val="28"/>
        </w:rPr>
      </w:pPr>
    </w:p>
    <w:p w14:paraId="79FB2056" w14:textId="77777777" w:rsidR="006E25DC" w:rsidRPr="006E25DC" w:rsidRDefault="0010563C" w:rsidP="006E25DC">
      <w:pPr>
        <w:ind w:left="300"/>
        <w:rPr>
          <w:rFonts w:ascii="細明體" w:eastAsia="細明體" w:hAnsi="細明體"/>
          <w:sz w:val="28"/>
          <w:szCs w:val="28"/>
          <w:lang w:val="en-US"/>
        </w:rPr>
      </w:pPr>
      <w:hyperlink r:id="rId9" w:history="1">
        <w:r w:rsidR="006E25DC" w:rsidRPr="006E25DC">
          <w:rPr>
            <w:rFonts w:ascii="細明體" w:eastAsia="細明體" w:hAnsi="細明體"/>
            <w:color w:val="0000FF"/>
            <w:sz w:val="28"/>
            <w:szCs w:val="28"/>
            <w:u w:val="single"/>
            <w:lang w:val="en-US"/>
          </w:rPr>
          <w:t>條例/</w:t>
        </w:r>
        <w:proofErr w:type="spellStart"/>
        <w:r w:rsidR="006E25DC" w:rsidRPr="006E25DC">
          <w:rPr>
            <w:rFonts w:ascii="細明體" w:eastAsia="細明體" w:hAnsi="細明體"/>
            <w:color w:val="0000FF"/>
            <w:sz w:val="28"/>
            <w:szCs w:val="28"/>
            <w:u w:val="single"/>
            <w:lang w:val="en-US"/>
          </w:rPr>
          <w:t>tiaoli</w:t>
        </w:r>
        <w:proofErr w:type="spellEnd"/>
        <w:r w:rsidR="006E25DC" w:rsidRPr="006E25DC">
          <w:rPr>
            <w:rFonts w:ascii="細明體" w:eastAsia="細明體" w:hAnsi="細明體"/>
            <w:color w:val="0000FF"/>
            <w:sz w:val="28"/>
            <w:szCs w:val="28"/>
            <w:u w:val="single"/>
            <w:lang w:val="en-US"/>
          </w:rPr>
          <w:t xml:space="preserve"> 2 </w:t>
        </w:r>
      </w:hyperlink>
    </w:p>
    <w:p w14:paraId="32148A0A" w14:textId="77777777" w:rsidR="006E25DC" w:rsidRDefault="006E25DC" w:rsidP="006E25DC">
      <w:pPr>
        <w:rPr>
          <w:rFonts w:ascii="細明體" w:eastAsia="細明體" w:hAnsi="細明體" w:cs="Lantinghei TC Heavy"/>
          <w:sz w:val="28"/>
          <w:szCs w:val="28"/>
          <w:lang w:val="en-US"/>
        </w:rPr>
      </w:pPr>
      <w:r w:rsidRPr="006E25DC">
        <w:rPr>
          <w:rFonts w:ascii="細明體" w:eastAsia="細明體" w:hAnsi="細明體" w:cs="Lantinghei TC Heavy"/>
          <w:sz w:val="28"/>
          <w:szCs w:val="28"/>
          <w:lang w:val="en-US"/>
        </w:rPr>
        <w:t>凡例應枷責之犯，奉旨改為發遣者，俱免其枷責之罪。</w:t>
      </w:r>
    </w:p>
    <w:p w14:paraId="1089245A" w14:textId="7E817F72" w:rsidR="003634E1" w:rsidRDefault="00436C17" w:rsidP="006E25DC">
      <w:pPr>
        <w:rPr>
          <w:rFonts w:ascii="Times" w:eastAsia="細明體" w:hAnsi="Times" w:cs="Lantinghei TC Heavy"/>
          <w:sz w:val="28"/>
          <w:szCs w:val="28"/>
        </w:rPr>
      </w:pPr>
      <w:r w:rsidRPr="00436C17">
        <w:rPr>
          <w:rFonts w:ascii="Times" w:eastAsia="細明體" w:hAnsi="Times" w:cs="Lantinghei TC Heavy"/>
          <w:sz w:val="28"/>
          <w:szCs w:val="28"/>
        </w:rPr>
        <w:t>Ceux qui au titre d’un article du code sont condamnés à porter la cangue</w:t>
      </w:r>
      <w:r w:rsidR="00C13CF0">
        <w:rPr>
          <w:rFonts w:ascii="Times" w:eastAsia="細明體" w:hAnsi="Times" w:cs="Lantinghei TC Heavy"/>
          <w:sz w:val="28"/>
          <w:szCs w:val="28"/>
        </w:rPr>
        <w:t>, s’ils bénéficient d’un édit c</w:t>
      </w:r>
      <w:r w:rsidRPr="00436C17">
        <w:rPr>
          <w:rFonts w:ascii="Times" w:eastAsia="細明體" w:hAnsi="Times" w:cs="Lantinghei TC Heavy"/>
          <w:sz w:val="28"/>
          <w:szCs w:val="28"/>
        </w:rPr>
        <w:t xml:space="preserve">ommuant </w:t>
      </w:r>
      <w:r w:rsidR="00C13CF0" w:rsidRPr="00C13CF0">
        <w:rPr>
          <w:rFonts w:ascii="Times" w:eastAsia="細明體" w:hAnsi="Times" w:cs="Lantinghei TC Heavy"/>
          <w:color w:val="FF0000"/>
          <w:sz w:val="28"/>
          <w:szCs w:val="28"/>
        </w:rPr>
        <w:t>[</w:t>
      </w:r>
      <w:r w:rsidRPr="00C13CF0">
        <w:rPr>
          <w:rFonts w:ascii="Times" w:eastAsia="細明體" w:hAnsi="Times" w:cs="Lantinghei TC Heavy"/>
          <w:color w:val="FF0000"/>
          <w:sz w:val="28"/>
          <w:szCs w:val="28"/>
        </w:rPr>
        <w:t>leur peine principale</w:t>
      </w:r>
      <w:r w:rsidR="00C13CF0">
        <w:rPr>
          <w:rFonts w:ascii="Times" w:eastAsia="細明體" w:hAnsi="Times" w:cs="Lantinghei TC Heavy"/>
          <w:sz w:val="28"/>
          <w:szCs w:val="28"/>
        </w:rPr>
        <w:t>] en</w:t>
      </w:r>
      <w:r w:rsidRPr="00436C17">
        <w:rPr>
          <w:rFonts w:ascii="Times" w:eastAsia="細明體" w:hAnsi="Times" w:cs="Lantinghei TC Heavy"/>
          <w:sz w:val="28"/>
          <w:szCs w:val="28"/>
        </w:rPr>
        <w:t xml:space="preserve"> </w:t>
      </w:r>
      <w:r>
        <w:rPr>
          <w:rFonts w:ascii="Times" w:eastAsia="細明體" w:hAnsi="Times" w:cs="Lantinghei TC Heavy"/>
          <w:sz w:val="28"/>
          <w:szCs w:val="28"/>
        </w:rPr>
        <w:t>dé</w:t>
      </w:r>
      <w:r w:rsidRPr="00436C17">
        <w:rPr>
          <w:rFonts w:ascii="Times" w:eastAsia="細明體" w:hAnsi="Times" w:cs="Lantinghei TC Heavy"/>
          <w:sz w:val="28"/>
          <w:szCs w:val="28"/>
        </w:rPr>
        <w:t>portation,</w:t>
      </w:r>
      <w:r>
        <w:rPr>
          <w:rFonts w:ascii="Times" w:eastAsia="細明體" w:hAnsi="Times" w:cs="Lantinghei TC Heavy"/>
          <w:sz w:val="28"/>
          <w:szCs w:val="28"/>
        </w:rPr>
        <w:t xml:space="preserve"> s</w:t>
      </w:r>
      <w:r w:rsidRPr="00436C17">
        <w:rPr>
          <w:rFonts w:ascii="Times" w:eastAsia="細明體" w:hAnsi="Times" w:cs="Lantinghei TC Heavy"/>
          <w:sz w:val="28"/>
          <w:szCs w:val="28"/>
        </w:rPr>
        <w:t>ont tous exempt</w:t>
      </w:r>
      <w:r>
        <w:rPr>
          <w:rFonts w:ascii="Times" w:eastAsia="細明體" w:hAnsi="Times" w:cs="Lantinghei TC Heavy"/>
          <w:sz w:val="28"/>
          <w:szCs w:val="28"/>
        </w:rPr>
        <w:t>é</w:t>
      </w:r>
      <w:r w:rsidRPr="00436C17">
        <w:rPr>
          <w:rFonts w:ascii="Times" w:eastAsia="細明體" w:hAnsi="Times" w:cs="Lantinghei TC Heavy"/>
          <w:sz w:val="28"/>
          <w:szCs w:val="28"/>
        </w:rPr>
        <w:t>s du port de la cangue.</w:t>
      </w:r>
    </w:p>
    <w:p w14:paraId="4083DE17" w14:textId="77777777" w:rsidR="00436C17" w:rsidRPr="00436C17" w:rsidRDefault="00436C17" w:rsidP="006E25DC">
      <w:pPr>
        <w:rPr>
          <w:rFonts w:ascii="Times" w:eastAsia="細明體" w:hAnsi="Times"/>
          <w:sz w:val="28"/>
          <w:szCs w:val="28"/>
        </w:rPr>
      </w:pPr>
    </w:p>
    <w:p w14:paraId="590072C7" w14:textId="77777777" w:rsidR="006E25DC" w:rsidRPr="006E25DC" w:rsidRDefault="0010563C" w:rsidP="006E25DC">
      <w:pPr>
        <w:ind w:left="300"/>
        <w:rPr>
          <w:rFonts w:ascii="細明體" w:eastAsia="細明體" w:hAnsi="細明體"/>
          <w:sz w:val="28"/>
          <w:szCs w:val="28"/>
          <w:lang w:val="en-US"/>
        </w:rPr>
      </w:pPr>
      <w:hyperlink r:id="rId10" w:history="1">
        <w:r w:rsidR="006E25DC" w:rsidRPr="006E25DC">
          <w:rPr>
            <w:rFonts w:ascii="細明體" w:eastAsia="細明體" w:hAnsi="細明體"/>
            <w:color w:val="0000FF"/>
            <w:sz w:val="28"/>
            <w:szCs w:val="28"/>
            <w:u w:val="single"/>
            <w:lang w:val="en-US"/>
          </w:rPr>
          <w:t>條例/</w:t>
        </w:r>
        <w:proofErr w:type="spellStart"/>
        <w:r w:rsidR="006E25DC" w:rsidRPr="006E25DC">
          <w:rPr>
            <w:rFonts w:ascii="細明體" w:eastAsia="細明體" w:hAnsi="細明體"/>
            <w:color w:val="0000FF"/>
            <w:sz w:val="28"/>
            <w:szCs w:val="28"/>
            <w:u w:val="single"/>
            <w:lang w:val="en-US"/>
          </w:rPr>
          <w:t>tiaoli</w:t>
        </w:r>
        <w:proofErr w:type="spellEnd"/>
        <w:r w:rsidR="006E25DC" w:rsidRPr="006E25DC">
          <w:rPr>
            <w:rFonts w:ascii="細明體" w:eastAsia="細明體" w:hAnsi="細明體"/>
            <w:color w:val="0000FF"/>
            <w:sz w:val="28"/>
            <w:szCs w:val="28"/>
            <w:u w:val="single"/>
            <w:lang w:val="en-US"/>
          </w:rPr>
          <w:t xml:space="preserve"> 3 </w:t>
        </w:r>
      </w:hyperlink>
    </w:p>
    <w:p w14:paraId="014031A3" w14:textId="77777777" w:rsidR="006E25DC" w:rsidRPr="006E25DC" w:rsidRDefault="006E25DC" w:rsidP="006E25DC">
      <w:pPr>
        <w:rPr>
          <w:rFonts w:ascii="細明體" w:eastAsia="細明體" w:hAnsi="細明體"/>
          <w:sz w:val="28"/>
          <w:szCs w:val="28"/>
          <w:lang w:val="en-US"/>
        </w:rPr>
      </w:pPr>
      <w:r w:rsidRPr="006E25DC">
        <w:rPr>
          <w:rFonts w:ascii="細明體" w:eastAsia="細明體" w:hAnsi="細明體" w:cs="Lantinghei TC Heavy"/>
          <w:sz w:val="28"/>
          <w:szCs w:val="28"/>
          <w:lang w:val="en-US"/>
        </w:rPr>
        <w:t>議處、議罪俱照本條律例定擬，其有情罪重大應從重定擬者，必折衷於法之至平至允，援引比照，不得擅用</w:t>
      </w:r>
      <w:r w:rsidRPr="006E25DC">
        <w:rPr>
          <w:rFonts w:ascii="細明體" w:eastAsia="細明體" w:hAnsi="細明體" w:cs="Lantinghei TC Extralight"/>
          <w:sz w:val="28"/>
          <w:szCs w:val="28"/>
          <w:lang w:val="en-US"/>
        </w:rPr>
        <w:t>「</w:t>
      </w:r>
      <w:r w:rsidRPr="005B3335">
        <w:rPr>
          <w:rFonts w:ascii="細明體" w:eastAsia="細明體" w:hAnsi="細明體" w:cs="Lantinghei TC Heavy"/>
          <w:color w:val="FF0000"/>
          <w:sz w:val="28"/>
          <w:szCs w:val="28"/>
          <w:lang w:val="en-US"/>
        </w:rPr>
        <w:t>加倍</w:t>
      </w:r>
      <w:r w:rsidRPr="006E25DC">
        <w:rPr>
          <w:rFonts w:ascii="細明體" w:eastAsia="細明體" w:hAnsi="細明體" w:cs="Lantinghei TC Extralight"/>
          <w:sz w:val="28"/>
          <w:szCs w:val="28"/>
          <w:lang w:val="en-US"/>
        </w:rPr>
        <w:t>」</w:t>
      </w:r>
      <w:r w:rsidRPr="006E25DC">
        <w:rPr>
          <w:rFonts w:ascii="細明體" w:eastAsia="細明體" w:hAnsi="細明體" w:cs="Lantinghei TC Heavy"/>
          <w:sz w:val="28"/>
          <w:szCs w:val="28"/>
          <w:lang w:val="en-US"/>
        </w:rPr>
        <w:t>字樣。</w:t>
      </w:r>
    </w:p>
    <w:p w14:paraId="16BCD890" w14:textId="77777777" w:rsidR="00700937" w:rsidRDefault="00700937"/>
    <w:p w14:paraId="1DEBE53C" w14:textId="0D207C3E" w:rsidR="00436C17" w:rsidRDefault="00436C17">
      <w:pPr>
        <w:rPr>
          <w:color w:val="FF0000"/>
        </w:rPr>
      </w:pPr>
      <w:r>
        <w:t>les délibérations sur les sanctions (</w:t>
      </w:r>
      <w:r>
        <w:rPr>
          <w:rFonts w:hint="eastAsia"/>
          <w:lang w:eastAsia="zh-TW"/>
        </w:rPr>
        <w:t>處分</w:t>
      </w:r>
      <w:r>
        <w:rPr>
          <w:rFonts w:hint="eastAsia"/>
          <w:lang w:eastAsia="zh-TW"/>
        </w:rPr>
        <w:t> </w:t>
      </w:r>
      <w:r>
        <w:rPr>
          <w:lang w:eastAsia="zh-TW"/>
        </w:rPr>
        <w:t>?</w:t>
      </w:r>
      <w:r>
        <w:t xml:space="preserve">) </w:t>
      </w:r>
      <w:proofErr w:type="gramStart"/>
      <w:r>
        <w:t>et</w:t>
      </w:r>
      <w:proofErr w:type="gramEnd"/>
      <w:r>
        <w:t xml:space="preserve"> les peines doivent toutes être </w:t>
      </w:r>
      <w:r w:rsidR="006D7A71">
        <w:t xml:space="preserve">fondées sur les dispositions de </w:t>
      </w:r>
      <w:r w:rsidR="006D7A71" w:rsidRPr="006D7A71">
        <w:rPr>
          <w:color w:val="FF0000"/>
        </w:rPr>
        <w:t>cet</w:t>
      </w:r>
      <w:r w:rsidR="006D7A71">
        <w:t xml:space="preserve"> article (</w:t>
      </w:r>
      <w:proofErr w:type="spellStart"/>
      <w:r w:rsidR="006D7A71" w:rsidRPr="006D7A71">
        <w:rPr>
          <w:color w:val="FF0000"/>
        </w:rPr>
        <w:t>lü</w:t>
      </w:r>
      <w:proofErr w:type="spellEnd"/>
      <w:r w:rsidR="006D7A71" w:rsidRPr="006D7A71">
        <w:rPr>
          <w:color w:val="FF0000"/>
        </w:rPr>
        <w:t xml:space="preserve"> n° 36</w:t>
      </w:r>
      <w:r w:rsidR="006D7A71">
        <w:t xml:space="preserve">) </w:t>
      </w:r>
      <w:r>
        <w:t xml:space="preserve">et </w:t>
      </w:r>
      <w:r w:rsidR="006D7A71">
        <w:t xml:space="preserve">des </w:t>
      </w:r>
      <w:r>
        <w:t xml:space="preserve">articles additionnels </w:t>
      </w:r>
      <w:r w:rsidR="006D7A71" w:rsidRPr="006D7A71">
        <w:rPr>
          <w:color w:val="FF0000"/>
        </w:rPr>
        <w:t>qui lui sont annexés</w:t>
      </w:r>
      <w:r>
        <w:t xml:space="preserve">. Si les faits </w:t>
      </w:r>
      <w:r w:rsidR="003A661D">
        <w:t xml:space="preserve">sont graves </w:t>
      </w:r>
      <w:r>
        <w:t xml:space="preserve">et </w:t>
      </w:r>
      <w:r w:rsidR="003A661D">
        <w:t xml:space="preserve">que </w:t>
      </w:r>
      <w:r>
        <w:t>les dispositi</w:t>
      </w:r>
      <w:r w:rsidR="003A661D">
        <w:t>ons imposent une sentence plus sévère</w:t>
      </w:r>
      <w:r>
        <w:t xml:space="preserve">, il faut transiger avec la loi afin d’atteindre la décision la plus juste et équitable, en </w:t>
      </w:r>
      <w:r w:rsidR="00775491">
        <w:t xml:space="preserve">citant un </w:t>
      </w:r>
      <w:r w:rsidR="006D7A71" w:rsidRPr="006D7A71">
        <w:rPr>
          <w:color w:val="FF0000"/>
        </w:rPr>
        <w:t>[autre]</w:t>
      </w:r>
      <w:r w:rsidR="006D7A71">
        <w:t xml:space="preserve"> </w:t>
      </w:r>
      <w:r w:rsidR="00775491">
        <w:t>article par a</w:t>
      </w:r>
      <w:r>
        <w:t>nalogie, sans s’a</w:t>
      </w:r>
      <w:r w:rsidR="009F5881">
        <w:t>utoriser</w:t>
      </w:r>
      <w:r w:rsidR="005B3335">
        <w:t xml:space="preserve"> </w:t>
      </w:r>
      <w:r w:rsidR="009F5881">
        <w:t xml:space="preserve">à employer </w:t>
      </w:r>
      <w:r w:rsidR="005B3335">
        <w:t xml:space="preserve">des termes </w:t>
      </w:r>
      <w:r w:rsidR="009F5881">
        <w:t xml:space="preserve">comme </w:t>
      </w:r>
      <w:r w:rsidR="005B3335" w:rsidRPr="00C13CF0">
        <w:rPr>
          <w:color w:val="FF0000"/>
        </w:rPr>
        <w:t>« doubler </w:t>
      </w:r>
      <w:r w:rsidR="009F5881">
        <w:rPr>
          <w:color w:val="FF0000"/>
        </w:rPr>
        <w:t xml:space="preserve">[la peine] </w:t>
      </w:r>
      <w:r w:rsidR="005B3335" w:rsidRPr="00C13CF0">
        <w:rPr>
          <w:color w:val="FF0000"/>
        </w:rPr>
        <w:t xml:space="preserve">» </w:t>
      </w:r>
      <w:proofErr w:type="gramStart"/>
      <w:r w:rsidR="005B3335" w:rsidRPr="00C13CF0">
        <w:rPr>
          <w:color w:val="FF0000"/>
        </w:rPr>
        <w:t>( ??)</w:t>
      </w:r>
      <w:proofErr w:type="gramEnd"/>
    </w:p>
    <w:p w14:paraId="5EDEC767" w14:textId="77777777" w:rsidR="009F5881" w:rsidRDefault="009F5881">
      <w:pPr>
        <w:rPr>
          <w:color w:val="FF0000"/>
        </w:rPr>
      </w:pPr>
    </w:p>
    <w:p w14:paraId="2394A09F" w14:textId="31819372" w:rsidR="009F5881" w:rsidRDefault="009F5881">
      <w:pPr>
        <w:rPr>
          <w:color w:val="FF0000"/>
        </w:rPr>
      </w:pPr>
      <w:r>
        <w:rPr>
          <w:color w:val="FF0000"/>
        </w:rPr>
        <w:t xml:space="preserve">Article </w:t>
      </w:r>
      <w:r w:rsidR="00E60297">
        <w:rPr>
          <w:color w:val="FF0000"/>
        </w:rPr>
        <w:t xml:space="preserve">tiré d’un édit de YZ8 (1729), inséré comme article additionnel dans le code de 1740, encore présent dans le </w:t>
      </w:r>
      <w:proofErr w:type="spellStart"/>
      <w:r w:rsidR="00E60297">
        <w:rPr>
          <w:color w:val="FF0000"/>
        </w:rPr>
        <w:t>Lüli</w:t>
      </w:r>
      <w:proofErr w:type="spellEnd"/>
      <w:r w:rsidR="00E60297">
        <w:rPr>
          <w:color w:val="FF0000"/>
        </w:rPr>
        <w:t xml:space="preserve"> </w:t>
      </w:r>
      <w:proofErr w:type="spellStart"/>
      <w:r w:rsidR="00E60297">
        <w:rPr>
          <w:color w:val="FF0000"/>
        </w:rPr>
        <w:t>tongkao</w:t>
      </w:r>
      <w:proofErr w:type="spellEnd"/>
      <w:r w:rsidR="00E60297">
        <w:rPr>
          <w:color w:val="FF0000"/>
        </w:rPr>
        <w:t xml:space="preserve"> (1780), mais plus dans le code de 1870 (DLCY)</w:t>
      </w:r>
    </w:p>
    <w:p w14:paraId="1AD04348" w14:textId="5DEE8567" w:rsidR="00E60297" w:rsidRDefault="00E60297">
      <w:pPr>
        <w:rPr>
          <w:color w:val="FF0000"/>
        </w:rPr>
      </w:pPr>
      <w:r>
        <w:rPr>
          <w:color w:val="FF0000"/>
        </w:rPr>
        <w:t>Sans doute remplacé par cet article de JQ 4 (1799) :</w:t>
      </w:r>
    </w:p>
    <w:p w14:paraId="458C68E5" w14:textId="77777777" w:rsidR="00E60297" w:rsidRDefault="0010563C" w:rsidP="00E60297">
      <w:pPr>
        <w:pStyle w:val="NormalWeb"/>
        <w:spacing w:before="0" w:beforeAutospacing="0" w:after="0" w:afterAutospacing="0"/>
        <w:ind w:left="1830"/>
      </w:pPr>
      <w:hyperlink r:id="rId11" w:history="1">
        <w:r w:rsidR="00E60297">
          <w:rPr>
            <w:rStyle w:val="Lienhypertexte"/>
          </w:rPr>
          <w:t>條例</w:t>
        </w:r>
        <w:r w:rsidR="00E60297">
          <w:rPr>
            <w:rStyle w:val="Lienhypertexte"/>
          </w:rPr>
          <w:t>/</w:t>
        </w:r>
        <w:proofErr w:type="spellStart"/>
        <w:r w:rsidR="00E60297">
          <w:rPr>
            <w:rStyle w:val="Lienhypertexte"/>
          </w:rPr>
          <w:t>tiaoli</w:t>
        </w:r>
        <w:proofErr w:type="spellEnd"/>
        <w:r w:rsidR="00E60297">
          <w:rPr>
            <w:rStyle w:val="Lienhypertexte"/>
          </w:rPr>
          <w:t xml:space="preserve"> 7 </w:t>
        </w:r>
      </w:hyperlink>
    </w:p>
    <w:p w14:paraId="36A0F128" w14:textId="77777777" w:rsidR="00E60297" w:rsidRDefault="00E60297" w:rsidP="00E60297">
      <w:pPr>
        <w:rPr>
          <w:rFonts w:ascii="細明體" w:eastAsia="細明體" w:hAnsi="細明體"/>
        </w:rPr>
      </w:pPr>
      <w:r w:rsidRPr="004F43B7">
        <w:rPr>
          <w:rFonts w:ascii="細明體" w:eastAsia="細明體" w:hAnsi="細明體" w:cs="儷宋 Pro" w:hint="eastAsia"/>
        </w:rPr>
        <w:t>審</w:t>
      </w:r>
      <w:r w:rsidRPr="004F43B7">
        <w:rPr>
          <w:rFonts w:ascii="細明體" w:eastAsia="細明體" w:hAnsi="細明體"/>
        </w:rPr>
        <w:t xml:space="preserve"> </w:t>
      </w:r>
      <w:r w:rsidRPr="004F43B7">
        <w:rPr>
          <w:rFonts w:ascii="細明體" w:eastAsia="細明體" w:hAnsi="細明體" w:cs="儷宋 Pro" w:hint="eastAsia"/>
        </w:rPr>
        <w:t>擬罪名</w:t>
      </w:r>
      <w:r w:rsidRPr="004F43B7">
        <w:rPr>
          <w:rFonts w:ascii="細明體" w:eastAsia="細明體" w:hAnsi="細明體" w:cs="Microsoft Tai Le"/>
        </w:rPr>
        <w:t>。</w:t>
      </w:r>
      <w:r w:rsidRPr="004F43B7">
        <w:rPr>
          <w:rFonts w:ascii="細明體" w:eastAsia="細明體" w:hAnsi="細明體"/>
        </w:rPr>
        <w:t xml:space="preserve">俱各 </w:t>
      </w:r>
      <w:r w:rsidRPr="004F43B7">
        <w:rPr>
          <w:rFonts w:ascii="細明體" w:eastAsia="細明體" w:hAnsi="細明體" w:cs="儷宋 Pro" w:hint="eastAsia"/>
        </w:rPr>
        <w:t>照本條律例問</w:t>
      </w:r>
      <w:r w:rsidRPr="004F43B7">
        <w:rPr>
          <w:rFonts w:ascii="細明體" w:eastAsia="細明體" w:hAnsi="細明體"/>
        </w:rPr>
        <w:t>擬</w:t>
      </w:r>
      <w:r w:rsidRPr="004F43B7">
        <w:rPr>
          <w:rFonts w:ascii="細明體" w:eastAsia="細明體" w:hAnsi="細明體" w:cs="Microsoft Tai Le"/>
        </w:rPr>
        <w:t>。</w:t>
      </w:r>
      <w:r w:rsidRPr="004F43B7">
        <w:rPr>
          <w:rFonts w:ascii="細明體" w:eastAsia="細明體" w:hAnsi="細明體"/>
        </w:rPr>
        <w:t>不得擅用不足蔽辜</w:t>
      </w:r>
      <w:r w:rsidRPr="004F43B7">
        <w:rPr>
          <w:rFonts w:ascii="細明體" w:eastAsia="細明體" w:hAnsi="細明體" w:cs="Microsoft Tai Le"/>
        </w:rPr>
        <w:t>、</w:t>
      </w:r>
      <w:r w:rsidRPr="004F43B7">
        <w:rPr>
          <w:rFonts w:ascii="細明體" w:eastAsia="細明體" w:hAnsi="細明體"/>
        </w:rPr>
        <w:t>無以示懲</w:t>
      </w:r>
      <w:r w:rsidRPr="004F43B7">
        <w:rPr>
          <w:rFonts w:ascii="細明體" w:eastAsia="細明體" w:hAnsi="細明體" w:cs="Microsoft Tai Le"/>
        </w:rPr>
        <w:t>、</w:t>
      </w:r>
      <w:r w:rsidRPr="004F43B7">
        <w:rPr>
          <w:rFonts w:ascii="細明體" w:eastAsia="細明體" w:hAnsi="細明體"/>
        </w:rPr>
        <w:t>從重加等</w:t>
      </w:r>
      <w:r w:rsidRPr="004F43B7">
        <w:rPr>
          <w:rFonts w:ascii="細明體" w:eastAsia="細明體" w:hAnsi="細明體" w:cs="Microsoft Tai Le"/>
        </w:rPr>
        <w:t>、</w:t>
      </w:r>
      <w:r w:rsidRPr="004F43B7">
        <w:rPr>
          <w:rFonts w:ascii="細明體" w:eastAsia="細明體" w:hAnsi="細明體"/>
        </w:rPr>
        <w:t>及加數等</w:t>
      </w:r>
      <w:r w:rsidRPr="004F43B7">
        <w:rPr>
          <w:rFonts w:ascii="細明體" w:eastAsia="細明體" w:hAnsi="細明體" w:cs="Microsoft Tai Le"/>
        </w:rPr>
        <w:t>、</w:t>
      </w:r>
      <w:r w:rsidRPr="004F43B7">
        <w:rPr>
          <w:rFonts w:ascii="細明體" w:eastAsia="細明體" w:hAnsi="細明體"/>
        </w:rPr>
        <w:t xml:space="preserve">並雖但字樣抑揚文 </w:t>
      </w:r>
      <w:r w:rsidRPr="004F43B7">
        <w:rPr>
          <w:rFonts w:ascii="細明體" w:eastAsia="細明體" w:hAnsi="細明體" w:cs="儷宋 Pro" w:hint="eastAsia"/>
        </w:rPr>
        <w:t>法</w:t>
      </w:r>
      <w:r w:rsidRPr="004F43B7">
        <w:rPr>
          <w:rFonts w:ascii="細明體" w:eastAsia="細明體" w:hAnsi="細明體" w:cs="Microsoft Tai Le"/>
        </w:rPr>
        <w:t>。</w:t>
      </w:r>
      <w:r w:rsidRPr="004F43B7">
        <w:rPr>
          <w:rFonts w:ascii="細明體" w:eastAsia="細明體" w:hAnsi="細明體"/>
        </w:rPr>
        <w:t>其案情錯出</w:t>
      </w:r>
      <w:r w:rsidRPr="004F43B7">
        <w:rPr>
          <w:rFonts w:ascii="細明體" w:eastAsia="細明體" w:hAnsi="細明體" w:cs="Microsoft Tai Le"/>
        </w:rPr>
        <w:t>、</w:t>
      </w:r>
      <w:r w:rsidRPr="004F43B7">
        <w:rPr>
          <w:rFonts w:ascii="細明體" w:eastAsia="細明體" w:hAnsi="細明體"/>
        </w:rPr>
        <w:t>律無正條</w:t>
      </w:r>
      <w:r w:rsidRPr="004F43B7">
        <w:rPr>
          <w:rFonts w:ascii="細明體" w:eastAsia="細明體" w:hAnsi="細明體" w:cs="Microsoft Tai Le"/>
        </w:rPr>
        <w:t>、</w:t>
      </w:r>
      <w:r w:rsidRPr="004F43B7">
        <w:rPr>
          <w:rFonts w:ascii="細明體" w:eastAsia="細明體" w:hAnsi="細明體"/>
        </w:rPr>
        <w:t>罪應流徒以上者</w:t>
      </w:r>
      <w:r w:rsidRPr="004F43B7">
        <w:rPr>
          <w:rFonts w:ascii="細明體" w:eastAsia="細明體" w:hAnsi="細明體" w:cs="Microsoft Tai Le"/>
        </w:rPr>
        <w:t>。</w:t>
      </w:r>
      <w:r w:rsidRPr="004F43B7">
        <w:rPr>
          <w:rFonts w:ascii="細明體" w:eastAsia="細明體" w:hAnsi="細明體"/>
        </w:rPr>
        <w:t>應折衷至當</w:t>
      </w:r>
      <w:r w:rsidRPr="004F43B7">
        <w:rPr>
          <w:rFonts w:ascii="細明體" w:eastAsia="細明體" w:hAnsi="細明體" w:cs="Microsoft Tai Le"/>
        </w:rPr>
        <w:t>。</w:t>
      </w:r>
      <w:r w:rsidRPr="004F43B7">
        <w:rPr>
          <w:rFonts w:ascii="細明體" w:eastAsia="細明體" w:hAnsi="細明體"/>
        </w:rPr>
        <w:t>援引他律他例比附酌覈</w:t>
      </w:r>
      <w:r w:rsidRPr="004F43B7">
        <w:rPr>
          <w:rFonts w:ascii="細明體" w:eastAsia="細明體" w:hAnsi="細明體" w:cs="Microsoft Tai Le"/>
        </w:rPr>
        <w:t>。</w:t>
      </w:r>
      <w:r w:rsidRPr="004F43B7">
        <w:rPr>
          <w:rFonts w:ascii="細明體" w:eastAsia="細明體" w:hAnsi="細明體"/>
        </w:rPr>
        <w:t xml:space="preserve">以歸 </w:t>
      </w:r>
      <w:r w:rsidRPr="004F43B7">
        <w:rPr>
          <w:rFonts w:ascii="細明體" w:eastAsia="細明體" w:hAnsi="細明體" w:cs="儷宋 Pro" w:hint="eastAsia"/>
        </w:rPr>
        <w:t>平允</w:t>
      </w:r>
      <w:r w:rsidRPr="004F43B7">
        <w:rPr>
          <w:rFonts w:ascii="細明體" w:eastAsia="細明體" w:hAnsi="細明體" w:cs="Microsoft Tai Le"/>
        </w:rPr>
        <w:t>。</w:t>
      </w:r>
      <w:r w:rsidRPr="004F43B7">
        <w:rPr>
          <w:rFonts w:ascii="細明體" w:eastAsia="細明體" w:hAnsi="細明體"/>
        </w:rPr>
        <w:t>其應具題者</w:t>
      </w:r>
      <w:r w:rsidRPr="004F43B7">
        <w:rPr>
          <w:rFonts w:ascii="細明體" w:eastAsia="細明體" w:hAnsi="細明體" w:cs="Microsoft Tai Le"/>
        </w:rPr>
        <w:t>。</w:t>
      </w:r>
      <w:r w:rsidRPr="004F43B7">
        <w:rPr>
          <w:rFonts w:ascii="細明體" w:eastAsia="細明體" w:hAnsi="細明體"/>
        </w:rPr>
        <w:t>於疏內聲明</w:t>
      </w:r>
      <w:r w:rsidRPr="004F43B7">
        <w:rPr>
          <w:rFonts w:ascii="細明體" w:eastAsia="細明體" w:hAnsi="細明體" w:cs="Microsoft Tai Le"/>
        </w:rPr>
        <w:t>。</w:t>
      </w:r>
      <w:r w:rsidRPr="004F43B7">
        <w:rPr>
          <w:rFonts w:ascii="細明體" w:eastAsia="細明體" w:hAnsi="細明體"/>
        </w:rPr>
        <w:t>恭候聖裁</w:t>
      </w:r>
      <w:r w:rsidRPr="004F43B7">
        <w:rPr>
          <w:rFonts w:ascii="細明體" w:eastAsia="細明體" w:hAnsi="細明體" w:cs="Microsoft Tai Le"/>
        </w:rPr>
        <w:t>。</w:t>
      </w:r>
      <w:r w:rsidRPr="004F43B7">
        <w:rPr>
          <w:rFonts w:ascii="細明體" w:eastAsia="細明體" w:hAnsi="細明體"/>
        </w:rPr>
        <w:t>至律例內如拒捕脫逃等項</w:t>
      </w:r>
      <w:r w:rsidRPr="004F43B7">
        <w:rPr>
          <w:rFonts w:ascii="細明體" w:eastAsia="細明體" w:hAnsi="細明體" w:cs="Microsoft Tai Le"/>
        </w:rPr>
        <w:t>。</w:t>
      </w:r>
      <w:r w:rsidRPr="004F43B7">
        <w:rPr>
          <w:rFonts w:ascii="細明體" w:eastAsia="細明體" w:hAnsi="細明體"/>
        </w:rPr>
        <w:t>載明照本罪加等者</w:t>
      </w:r>
      <w:r w:rsidRPr="004F43B7">
        <w:rPr>
          <w:rFonts w:ascii="細明體" w:eastAsia="細明體" w:hAnsi="細明體" w:cs="Microsoft Tai Le"/>
        </w:rPr>
        <w:t>。</w:t>
      </w:r>
      <w:r w:rsidRPr="004F43B7">
        <w:rPr>
          <w:rFonts w:ascii="細明體" w:eastAsia="細明體" w:hAnsi="細明體"/>
        </w:rPr>
        <w:t>仍各遵照辦理</w:t>
      </w:r>
      <w:r w:rsidRPr="004F43B7">
        <w:rPr>
          <w:rFonts w:ascii="細明體" w:eastAsia="細明體" w:hAnsi="細明體" w:cs="Microsoft Tai Le"/>
        </w:rPr>
        <w:t>。</w:t>
      </w:r>
      <w:r w:rsidRPr="004F43B7">
        <w:rPr>
          <w:rFonts w:ascii="細明體" w:eastAsia="細明體" w:hAnsi="細明體"/>
        </w:rPr>
        <w:t xml:space="preserve"> [</w:t>
      </w:r>
      <w:r w:rsidRPr="004F43B7">
        <w:rPr>
          <w:rFonts w:ascii="細明體" w:eastAsia="細明體" w:hAnsi="細明體" w:cs="儷宋 Pro" w:hint="eastAsia"/>
        </w:rPr>
        <w:t>謹</w:t>
      </w:r>
      <w:r w:rsidRPr="004F43B7">
        <w:rPr>
          <w:rFonts w:ascii="細明體" w:eastAsia="細明體" w:hAnsi="細明體"/>
        </w:rPr>
        <w:t>案此條嘉慶四年 遵旨議定</w:t>
      </w:r>
      <w:r w:rsidRPr="004F43B7">
        <w:rPr>
          <w:rFonts w:ascii="細明體" w:eastAsia="細明體" w:hAnsi="細明體" w:cs="Microsoft Tai Le"/>
        </w:rPr>
        <w:t>。</w:t>
      </w:r>
      <w:r w:rsidRPr="004F43B7">
        <w:rPr>
          <w:rFonts w:ascii="細明體" w:eastAsia="細明體" w:hAnsi="細明體"/>
        </w:rPr>
        <w:t>]</w:t>
      </w:r>
    </w:p>
    <w:p w14:paraId="6114327F" w14:textId="77777777" w:rsidR="00945370" w:rsidRPr="004F43B7" w:rsidRDefault="00945370" w:rsidP="00E60297">
      <w:pPr>
        <w:rPr>
          <w:rFonts w:ascii="細明體" w:eastAsia="細明體" w:hAnsi="細明體"/>
        </w:rPr>
      </w:pPr>
    </w:p>
    <w:p w14:paraId="22809E75" w14:textId="77777777" w:rsidR="00E60297" w:rsidRDefault="00E60297"/>
    <w:p w14:paraId="1E5C5CF0" w14:textId="77777777" w:rsidR="00775491" w:rsidRDefault="00775491"/>
    <w:p w14:paraId="43A08315" w14:textId="0A41F664" w:rsidR="00721645" w:rsidRDefault="00721645"/>
    <w:p w14:paraId="6D3DC77C" w14:textId="77777777" w:rsidR="00855F53" w:rsidRDefault="00855F53">
      <w:pPr>
        <w:rPr>
          <w:rFonts w:ascii="Times" w:eastAsia="細明體" w:hAnsi="Times"/>
          <w:sz w:val="28"/>
          <w:szCs w:val="28"/>
        </w:rPr>
      </w:pPr>
    </w:p>
    <w:p w14:paraId="761AE438" w14:textId="77777777" w:rsidR="00855F53" w:rsidRDefault="00855F53">
      <w:pPr>
        <w:rPr>
          <w:rFonts w:ascii="Times" w:eastAsia="細明體" w:hAnsi="Times"/>
          <w:sz w:val="28"/>
          <w:szCs w:val="28"/>
        </w:rPr>
      </w:pPr>
    </w:p>
    <w:p w14:paraId="00B22212" w14:textId="77777777" w:rsidR="00855F53" w:rsidRDefault="00855F53">
      <w:pPr>
        <w:rPr>
          <w:rFonts w:ascii="Times" w:eastAsia="細明體" w:hAnsi="Times"/>
          <w:sz w:val="28"/>
          <w:szCs w:val="28"/>
        </w:rPr>
      </w:pPr>
    </w:p>
    <w:p w14:paraId="0B6D05BE" w14:textId="77777777" w:rsidR="00A44AEF" w:rsidRDefault="00A44AEF" w:rsidP="00855F53">
      <w:pPr>
        <w:rPr>
          <w:rFonts w:ascii="細明體" w:eastAsia="細明體" w:hAnsi="細明體" w:cs="§∞$®ÔˇøÂ'91Â'1"/>
          <w:b/>
          <w:bCs/>
          <w:sz w:val="28"/>
          <w:szCs w:val="28"/>
          <w:lang w:eastAsia="ja-JP"/>
        </w:rPr>
      </w:pPr>
    </w:p>
    <w:p w14:paraId="7081EE70" w14:textId="77777777" w:rsidR="00A44AEF" w:rsidRDefault="00A44AEF" w:rsidP="00855F53">
      <w:pPr>
        <w:rPr>
          <w:rFonts w:ascii="細明體" w:eastAsia="細明體" w:hAnsi="細明體" w:cs="§∞$®ÔˇøÂ'91Â'1"/>
          <w:b/>
          <w:bCs/>
          <w:sz w:val="28"/>
          <w:szCs w:val="28"/>
          <w:lang w:eastAsia="ja-JP"/>
        </w:rPr>
      </w:pPr>
    </w:p>
    <w:p w14:paraId="7F932715" w14:textId="77777777" w:rsidR="00A44AEF" w:rsidRPr="00EF49AF" w:rsidRDefault="00A44AEF" w:rsidP="00855F53">
      <w:pPr>
        <w:rPr>
          <w:rFonts w:ascii="細明體" w:eastAsia="細明體" w:hAnsi="細明體"/>
          <w:lang w:eastAsia="ja-JP"/>
        </w:rPr>
      </w:pPr>
    </w:p>
    <w:sectPr w:rsidR="00A44AEF" w:rsidRPr="00EF49AF" w:rsidSect="00F51621">
      <w:pgSz w:w="11900" w:h="16840"/>
      <w:pgMar w:top="1418" w:right="1418" w:bottom="1418"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細明體">
    <w:charset w:val="51"/>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antinghei TC Heavy">
    <w:panose1 w:val="03000509000000000000"/>
    <w:charset w:val="00"/>
    <w:family w:val="auto"/>
    <w:pitch w:val="variable"/>
    <w:sig w:usb0="00000003" w:usb1="080E0000" w:usb2="00000000" w:usb3="00000000" w:csb0="00100001" w:csb1="00000000"/>
  </w:font>
  <w:font w:name="Lantinghei TC Extralight">
    <w:panose1 w:val="03000509000000000000"/>
    <w:charset w:val="00"/>
    <w:family w:val="auto"/>
    <w:pitch w:val="variable"/>
    <w:sig w:usb0="00000003" w:usb1="080E0000" w:usb2="00000000" w:usb3="00000000" w:csb0="00100001" w:csb1="00000000"/>
  </w:font>
  <w:font w:name="宋体">
    <w:charset w:val="50"/>
    <w:family w:val="auto"/>
    <w:pitch w:val="variable"/>
    <w:sig w:usb0="00000003" w:usb1="288F0000" w:usb2="00000016" w:usb3="00000000" w:csb0="00040001" w:csb1="00000000"/>
  </w:font>
  <w:font w:name="儷宋 Pro">
    <w:charset w:val="51"/>
    <w:family w:val="auto"/>
    <w:pitch w:val="variable"/>
    <w:sig w:usb0="80000001" w:usb1="28091800" w:usb2="00000016" w:usb3="00000000" w:csb0="00100000" w:csb1="00000000"/>
  </w:font>
  <w:font w:name="Microsoft Tai Le">
    <w:panose1 w:val="020B0502040204020203"/>
    <w:charset w:val="00"/>
    <w:family w:val="auto"/>
    <w:pitch w:val="variable"/>
    <w:sig w:usb0="00000003" w:usb1="00000000" w:usb2="40000000" w:usb3="00000000" w:csb0="00000001" w:csb1="00000000"/>
  </w:font>
  <w:font w:name="§∞$®ÔˇøÂ'91Â'1">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C4861"/>
    <w:multiLevelType w:val="hybridMultilevel"/>
    <w:tmpl w:val="8B2E09E6"/>
    <w:lvl w:ilvl="0" w:tplc="D0D8AA94">
      <w:numFmt w:val="bullet"/>
      <w:lvlText w:val="-"/>
      <w:lvlJc w:val="left"/>
      <w:pPr>
        <w:ind w:left="1780" w:hanging="360"/>
      </w:pPr>
      <w:rPr>
        <w:rFonts w:ascii="Times" w:eastAsia="細明體" w:hAnsi="Times" w:cs="Times New Roman"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DC"/>
    <w:rsid w:val="0005059E"/>
    <w:rsid w:val="00082A14"/>
    <w:rsid w:val="0010563C"/>
    <w:rsid w:val="002A3C4A"/>
    <w:rsid w:val="002A7B3B"/>
    <w:rsid w:val="00304543"/>
    <w:rsid w:val="003634E1"/>
    <w:rsid w:val="003A661D"/>
    <w:rsid w:val="00436C17"/>
    <w:rsid w:val="00450AF3"/>
    <w:rsid w:val="00455C3C"/>
    <w:rsid w:val="00492C8F"/>
    <w:rsid w:val="004F43B7"/>
    <w:rsid w:val="00547542"/>
    <w:rsid w:val="00563BEB"/>
    <w:rsid w:val="00567819"/>
    <w:rsid w:val="005A74AF"/>
    <w:rsid w:val="005B3335"/>
    <w:rsid w:val="006228E5"/>
    <w:rsid w:val="006D7A71"/>
    <w:rsid w:val="006E25DC"/>
    <w:rsid w:val="00700937"/>
    <w:rsid w:val="00721645"/>
    <w:rsid w:val="00775491"/>
    <w:rsid w:val="00855F53"/>
    <w:rsid w:val="008906A8"/>
    <w:rsid w:val="008A5FF8"/>
    <w:rsid w:val="00934FFA"/>
    <w:rsid w:val="00945370"/>
    <w:rsid w:val="009E73E7"/>
    <w:rsid w:val="009F5881"/>
    <w:rsid w:val="00A41CD4"/>
    <w:rsid w:val="00A44AEF"/>
    <w:rsid w:val="00AC5495"/>
    <w:rsid w:val="00B4135B"/>
    <w:rsid w:val="00BD6ABE"/>
    <w:rsid w:val="00C0498C"/>
    <w:rsid w:val="00C13CF0"/>
    <w:rsid w:val="00C75AAB"/>
    <w:rsid w:val="00D40CCC"/>
    <w:rsid w:val="00D45921"/>
    <w:rsid w:val="00D71C01"/>
    <w:rsid w:val="00D72547"/>
    <w:rsid w:val="00DE6B0B"/>
    <w:rsid w:val="00E47125"/>
    <w:rsid w:val="00E60297"/>
    <w:rsid w:val="00ED0F66"/>
    <w:rsid w:val="00EF49AF"/>
    <w:rsid w:val="00F315BE"/>
    <w:rsid w:val="00F51621"/>
    <w:rsid w:val="00F53E2F"/>
    <w:rsid w:val="00F611DE"/>
    <w:rsid w:val="00FE04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E2540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paragraph" w:styleId="Titre2">
    <w:name w:val="heading 2"/>
    <w:basedOn w:val="Normal"/>
    <w:link w:val="Titre2Car"/>
    <w:uiPriority w:val="9"/>
    <w:qFormat/>
    <w:rsid w:val="00A44AEF"/>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25DC"/>
    <w:pPr>
      <w:spacing w:before="100" w:beforeAutospacing="1" w:after="100" w:afterAutospacing="1"/>
    </w:pPr>
    <w:rPr>
      <w:rFonts w:ascii="Times" w:hAnsi="Times"/>
      <w:sz w:val="20"/>
      <w:szCs w:val="20"/>
      <w:lang w:val="en-US"/>
    </w:rPr>
  </w:style>
  <w:style w:type="character" w:styleId="Lienhypertexte">
    <w:name w:val="Hyperlink"/>
    <w:basedOn w:val="Policepardfaut"/>
    <w:uiPriority w:val="99"/>
    <w:unhideWhenUsed/>
    <w:rsid w:val="006E25DC"/>
    <w:rPr>
      <w:color w:val="0000FF"/>
      <w:u w:val="single"/>
    </w:rPr>
  </w:style>
  <w:style w:type="paragraph" w:styleId="Paragraphedeliste">
    <w:name w:val="List Paragraph"/>
    <w:basedOn w:val="Normal"/>
    <w:uiPriority w:val="34"/>
    <w:qFormat/>
    <w:rsid w:val="00721645"/>
    <w:pPr>
      <w:ind w:left="720"/>
      <w:contextualSpacing/>
    </w:pPr>
  </w:style>
  <w:style w:type="character" w:styleId="Lienhypertextesuivi">
    <w:name w:val="FollowedHyperlink"/>
    <w:basedOn w:val="Policepardfaut"/>
    <w:uiPriority w:val="99"/>
    <w:semiHidden/>
    <w:unhideWhenUsed/>
    <w:rsid w:val="00C75AAB"/>
    <w:rPr>
      <w:color w:val="800080" w:themeColor="followedHyperlink"/>
      <w:u w:val="single"/>
    </w:rPr>
  </w:style>
  <w:style w:type="character" w:customStyle="1" w:styleId="Titre2Car">
    <w:name w:val="Titre 2 Car"/>
    <w:basedOn w:val="Policepardfaut"/>
    <w:link w:val="Titre2"/>
    <w:uiPriority w:val="9"/>
    <w:rsid w:val="00A44AEF"/>
    <w:rPr>
      <w:rFonts w:ascii="Times" w:hAnsi="Times"/>
      <w:b/>
      <w:bCs/>
      <w:sz w:val="36"/>
      <w:szCs w:val="3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paragraph" w:styleId="Titre2">
    <w:name w:val="heading 2"/>
    <w:basedOn w:val="Normal"/>
    <w:link w:val="Titre2Car"/>
    <w:uiPriority w:val="9"/>
    <w:qFormat/>
    <w:rsid w:val="00A44AEF"/>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25DC"/>
    <w:pPr>
      <w:spacing w:before="100" w:beforeAutospacing="1" w:after="100" w:afterAutospacing="1"/>
    </w:pPr>
    <w:rPr>
      <w:rFonts w:ascii="Times" w:hAnsi="Times"/>
      <w:sz w:val="20"/>
      <w:szCs w:val="20"/>
      <w:lang w:val="en-US"/>
    </w:rPr>
  </w:style>
  <w:style w:type="character" w:styleId="Lienhypertexte">
    <w:name w:val="Hyperlink"/>
    <w:basedOn w:val="Policepardfaut"/>
    <w:uiPriority w:val="99"/>
    <w:unhideWhenUsed/>
    <w:rsid w:val="006E25DC"/>
    <w:rPr>
      <w:color w:val="0000FF"/>
      <w:u w:val="single"/>
    </w:rPr>
  </w:style>
  <w:style w:type="paragraph" w:styleId="Paragraphedeliste">
    <w:name w:val="List Paragraph"/>
    <w:basedOn w:val="Normal"/>
    <w:uiPriority w:val="34"/>
    <w:qFormat/>
    <w:rsid w:val="00721645"/>
    <w:pPr>
      <w:ind w:left="720"/>
      <w:contextualSpacing/>
    </w:pPr>
  </w:style>
  <w:style w:type="character" w:styleId="Lienhypertextesuivi">
    <w:name w:val="FollowedHyperlink"/>
    <w:basedOn w:val="Policepardfaut"/>
    <w:uiPriority w:val="99"/>
    <w:semiHidden/>
    <w:unhideWhenUsed/>
    <w:rsid w:val="00C75AAB"/>
    <w:rPr>
      <w:color w:val="800080" w:themeColor="followedHyperlink"/>
      <w:u w:val="single"/>
    </w:rPr>
  </w:style>
  <w:style w:type="character" w:customStyle="1" w:styleId="Titre2Car">
    <w:name w:val="Titre 2 Car"/>
    <w:basedOn w:val="Policepardfaut"/>
    <w:link w:val="Titre2"/>
    <w:uiPriority w:val="9"/>
    <w:rsid w:val="00A44AEF"/>
    <w:rPr>
      <w:rFonts w:ascii="Times" w:hAnsi="Times"/>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5675">
      <w:bodyDiv w:val="1"/>
      <w:marLeft w:val="0"/>
      <w:marRight w:val="0"/>
      <w:marTop w:val="0"/>
      <w:marBottom w:val="0"/>
      <w:divBdr>
        <w:top w:val="none" w:sz="0" w:space="0" w:color="auto"/>
        <w:left w:val="none" w:sz="0" w:space="0" w:color="auto"/>
        <w:bottom w:val="none" w:sz="0" w:space="0" w:color="auto"/>
        <w:right w:val="none" w:sz="0" w:space="0" w:color="auto"/>
      </w:divBdr>
    </w:div>
    <w:div w:id="142628523">
      <w:bodyDiv w:val="1"/>
      <w:marLeft w:val="0"/>
      <w:marRight w:val="0"/>
      <w:marTop w:val="0"/>
      <w:marBottom w:val="0"/>
      <w:divBdr>
        <w:top w:val="none" w:sz="0" w:space="0" w:color="auto"/>
        <w:left w:val="none" w:sz="0" w:space="0" w:color="auto"/>
        <w:bottom w:val="none" w:sz="0" w:space="0" w:color="auto"/>
        <w:right w:val="none" w:sz="0" w:space="0" w:color="auto"/>
      </w:divBdr>
      <w:divsChild>
        <w:div w:id="741178881">
          <w:marLeft w:val="1230"/>
          <w:marRight w:val="0"/>
          <w:marTop w:val="0"/>
          <w:marBottom w:val="0"/>
          <w:divBdr>
            <w:top w:val="none" w:sz="0" w:space="0" w:color="auto"/>
            <w:left w:val="none" w:sz="0" w:space="0" w:color="auto"/>
            <w:bottom w:val="none" w:sz="0" w:space="0" w:color="auto"/>
            <w:right w:val="none" w:sz="0" w:space="0" w:color="auto"/>
          </w:divBdr>
        </w:div>
      </w:divsChild>
    </w:div>
    <w:div w:id="299384622">
      <w:bodyDiv w:val="1"/>
      <w:marLeft w:val="0"/>
      <w:marRight w:val="0"/>
      <w:marTop w:val="0"/>
      <w:marBottom w:val="0"/>
      <w:divBdr>
        <w:top w:val="none" w:sz="0" w:space="0" w:color="auto"/>
        <w:left w:val="none" w:sz="0" w:space="0" w:color="auto"/>
        <w:bottom w:val="none" w:sz="0" w:space="0" w:color="auto"/>
        <w:right w:val="none" w:sz="0" w:space="0" w:color="auto"/>
      </w:divBdr>
      <w:divsChild>
        <w:div w:id="1405836255">
          <w:marLeft w:val="0"/>
          <w:marRight w:val="0"/>
          <w:marTop w:val="0"/>
          <w:marBottom w:val="0"/>
          <w:divBdr>
            <w:top w:val="none" w:sz="0" w:space="0" w:color="auto"/>
            <w:left w:val="none" w:sz="0" w:space="0" w:color="auto"/>
            <w:bottom w:val="none" w:sz="0" w:space="0" w:color="auto"/>
            <w:right w:val="none" w:sz="0" w:space="0" w:color="auto"/>
          </w:divBdr>
          <w:divsChild>
            <w:div w:id="1306814899">
              <w:marLeft w:val="0"/>
              <w:marRight w:val="0"/>
              <w:marTop w:val="45"/>
              <w:marBottom w:val="0"/>
              <w:divBdr>
                <w:top w:val="none" w:sz="0" w:space="0" w:color="auto"/>
                <w:left w:val="none" w:sz="0" w:space="0" w:color="auto"/>
                <w:bottom w:val="none" w:sz="0" w:space="0" w:color="auto"/>
                <w:right w:val="none" w:sz="0" w:space="0" w:color="auto"/>
              </w:divBdr>
            </w:div>
            <w:div w:id="773211347">
              <w:marLeft w:val="300"/>
              <w:marRight w:val="0"/>
              <w:marTop w:val="45"/>
              <w:marBottom w:val="0"/>
              <w:divBdr>
                <w:top w:val="none" w:sz="0" w:space="0" w:color="auto"/>
                <w:left w:val="none" w:sz="0" w:space="0" w:color="auto"/>
                <w:bottom w:val="none" w:sz="0" w:space="0" w:color="auto"/>
                <w:right w:val="none" w:sz="0" w:space="0" w:color="auto"/>
              </w:divBdr>
            </w:div>
            <w:div w:id="1786727021">
              <w:marLeft w:val="300"/>
              <w:marRight w:val="0"/>
              <w:marTop w:val="45"/>
              <w:marBottom w:val="0"/>
              <w:divBdr>
                <w:top w:val="none" w:sz="0" w:space="0" w:color="auto"/>
                <w:left w:val="none" w:sz="0" w:space="0" w:color="auto"/>
                <w:bottom w:val="none" w:sz="0" w:space="0" w:color="auto"/>
                <w:right w:val="none" w:sz="0" w:space="0" w:color="auto"/>
              </w:divBdr>
            </w:div>
            <w:div w:id="1614751959">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 w:id="820850831">
      <w:bodyDiv w:val="1"/>
      <w:marLeft w:val="0"/>
      <w:marRight w:val="0"/>
      <w:marTop w:val="0"/>
      <w:marBottom w:val="0"/>
      <w:divBdr>
        <w:top w:val="none" w:sz="0" w:space="0" w:color="auto"/>
        <w:left w:val="none" w:sz="0" w:space="0" w:color="auto"/>
        <w:bottom w:val="none" w:sz="0" w:space="0" w:color="auto"/>
        <w:right w:val="none" w:sz="0" w:space="0" w:color="auto"/>
      </w:divBdr>
      <w:divsChild>
        <w:div w:id="1883903442">
          <w:marLeft w:val="1830"/>
          <w:marRight w:val="0"/>
          <w:marTop w:val="0"/>
          <w:marBottom w:val="0"/>
          <w:divBdr>
            <w:top w:val="none" w:sz="0" w:space="0" w:color="auto"/>
            <w:left w:val="none" w:sz="0" w:space="0" w:color="auto"/>
            <w:bottom w:val="none" w:sz="0" w:space="0" w:color="auto"/>
            <w:right w:val="none" w:sz="0" w:space="0" w:color="auto"/>
          </w:divBdr>
        </w:div>
      </w:divsChild>
    </w:div>
    <w:div w:id="88356119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sc.chineselegalculture.org/eC/HDSLXB/2.1.16.42.0.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sc.chineselegalculture.org/eC/DQLL_1740/5.1.2.35" TargetMode="External"/><Relationship Id="rId7" Type="http://schemas.openxmlformats.org/officeDocument/2006/relationships/hyperlink" Target="http://lsc.chineselegalculture.org/eC/DQLL_1740/5.1.2.36" TargetMode="External"/><Relationship Id="rId8" Type="http://schemas.openxmlformats.org/officeDocument/2006/relationships/hyperlink" Target="http://lsc.chineselegalculture.org/eC/DQLL_1740/5.1.2.36.1" TargetMode="External"/><Relationship Id="rId9" Type="http://schemas.openxmlformats.org/officeDocument/2006/relationships/hyperlink" Target="http://lsc.chineselegalculture.org/eC/DQLL_1740/5.1.2.36.2" TargetMode="External"/><Relationship Id="rId10" Type="http://schemas.openxmlformats.org/officeDocument/2006/relationships/hyperlink" Target="http://lsc.chineselegalculture.org/eC/DQLL_1740/5.1.2.36.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1225</Words>
  <Characters>6066</Characters>
  <Application>Microsoft Macintosh Word</Application>
  <DocSecurity>0</DocSecurity>
  <Lines>93</Lines>
  <Paragraphs>13</Paragraphs>
  <ScaleCrop>false</ScaleCrop>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2016-02-05T14:02:00Z</dcterms:created>
  <dcterms:modified xsi:type="dcterms:W3CDTF">2016-02-07T15:06:00Z</dcterms:modified>
</cp:coreProperties>
</file>