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D5" w:rsidRDefault="00C137D5" w:rsidP="00C137D5">
      <w:pPr>
        <w:spacing w:after="360"/>
        <w:jc w:val="both"/>
        <w:rPr>
          <w:rFonts w:ascii="MS Gothic" w:eastAsia="MS Gothic" w:hAnsi="MS Gothic" w:cs="MS Gothic"/>
          <w:b/>
          <w:lang w:eastAsia="zh-TW"/>
        </w:rPr>
      </w:pPr>
      <w:r w:rsidRPr="0002648E">
        <w:rPr>
          <w:b/>
          <w:i/>
          <w:lang w:eastAsia="zh-TW"/>
        </w:rPr>
        <w:t>lü</w:t>
      </w:r>
      <w:r>
        <w:rPr>
          <w:b/>
          <w:lang w:eastAsia="zh-TW"/>
        </w:rPr>
        <w:t xml:space="preserve"> 4 </w:t>
      </w:r>
      <w:bookmarkStart w:id="0" w:name="_GoBack"/>
      <w:bookmarkEnd w:id="0"/>
      <w:r w:rsidRPr="0002648E">
        <w:rPr>
          <w:b/>
          <w:i/>
          <w:lang w:eastAsia="zh-TW"/>
        </w:rPr>
        <w:t>Yingyizhe fanzui</w:t>
      </w:r>
      <w:r w:rsidRPr="0002648E">
        <w:rPr>
          <w:b/>
          <w:lang w:eastAsia="zh-TW"/>
        </w:rPr>
        <w:t xml:space="preserve"> </w:t>
      </w:r>
      <w:r w:rsidRPr="0002648E">
        <w:rPr>
          <w:rFonts w:ascii="PMingLiU" w:hAnsi="PMingLiU" w:cs="MS Gothic" w:hint="eastAsia"/>
          <w:b/>
          <w:lang w:eastAsia="zh-TW"/>
        </w:rPr>
        <w:t>應議者犯罪</w:t>
      </w:r>
    </w:p>
    <w:p w:rsidR="00C137D5" w:rsidRPr="0002648E" w:rsidRDefault="00C137D5" w:rsidP="00C137D5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PMingLiU" w:eastAsia="PMingLiU" w:hAnsi="PMingLiU"/>
          <w:color w:val="333333"/>
          <w:lang w:eastAsia="zh-TW"/>
        </w:rPr>
      </w:pPr>
      <w:r>
        <w:rPr>
          <w:rFonts w:ascii="PMingLiU" w:eastAsia="PMingLiU" w:hAnsi="PMingLiU" w:cs="MS Gothic" w:hint="eastAsia"/>
          <w:color w:val="333333"/>
          <w:lang w:eastAsia="zh-TW"/>
        </w:rPr>
        <w:t xml:space="preserve">§1 </w:t>
      </w:r>
      <w:r w:rsidRPr="0002648E">
        <w:rPr>
          <w:rFonts w:ascii="PMingLiU" w:eastAsia="PMingLiU" w:hAnsi="PMingLiU" w:cs="MS Gothic" w:hint="eastAsia"/>
          <w:color w:val="333333"/>
          <w:lang w:eastAsia="zh-TW"/>
        </w:rPr>
        <w:t>凡八議者犯罪，</w:t>
      </w:r>
      <w:r w:rsidRPr="0002648E">
        <w:rPr>
          <w:rFonts w:ascii="PMingLiU" w:eastAsia="PMingLiU" w:hAnsi="PMingLiU" w:cs="MS Gothic" w:hint="eastAsia"/>
          <w:color w:val="3370FF"/>
          <w:vertAlign w:val="subscript"/>
          <w:lang w:eastAsia="zh-TW"/>
        </w:rPr>
        <w:t>開具所犯事情</w:t>
      </w:r>
      <w:r w:rsidRPr="0002648E">
        <w:rPr>
          <w:rFonts w:ascii="PMingLiU" w:eastAsia="PMingLiU" w:hAnsi="PMingLiU" w:cs="MS Gothic" w:hint="eastAsia"/>
          <w:color w:val="333333"/>
          <w:lang w:eastAsia="zh-TW"/>
        </w:rPr>
        <w:t>。實封奏聞取旨，不許擅自勾問。若奉旨推問者，開具所犯</w:t>
      </w:r>
      <w:r w:rsidRPr="0002648E">
        <w:rPr>
          <w:rFonts w:ascii="PMingLiU" w:eastAsia="PMingLiU" w:hAnsi="PMingLiU" w:cs="MS Gothic" w:hint="eastAsia"/>
          <w:color w:val="3370FF"/>
          <w:vertAlign w:val="subscript"/>
          <w:lang w:eastAsia="zh-TW"/>
        </w:rPr>
        <w:t>罪名</w:t>
      </w:r>
      <w:r w:rsidRPr="0002648E">
        <w:rPr>
          <w:rFonts w:ascii="PMingLiU" w:eastAsia="PMingLiU" w:hAnsi="PMingLiU" w:cs="MS Gothic" w:hint="eastAsia"/>
          <w:color w:val="333333"/>
          <w:lang w:eastAsia="zh-TW"/>
        </w:rPr>
        <w:t>及應議之狀，先奏請議，議定，</w:t>
      </w:r>
      <w:r w:rsidRPr="0002648E">
        <w:rPr>
          <w:rFonts w:ascii="PMingLiU" w:eastAsia="PMingLiU" w:hAnsi="PMingLiU" w:cs="MS Gothic" w:hint="eastAsia"/>
          <w:color w:val="3370FF"/>
          <w:vertAlign w:val="subscript"/>
          <w:lang w:eastAsia="zh-TW"/>
        </w:rPr>
        <w:t>將議過緣出</w:t>
      </w:r>
      <w:r w:rsidRPr="0002648E">
        <w:rPr>
          <w:rFonts w:ascii="PMingLiU" w:eastAsia="PMingLiU" w:hAnsi="PMingLiU" w:cs="MS Gothic" w:hint="eastAsia"/>
          <w:color w:val="333333"/>
          <w:lang w:eastAsia="zh-TW"/>
        </w:rPr>
        <w:t>奏聞，取自上裁。</w:t>
      </w:r>
    </w:p>
    <w:p w:rsidR="00C137D5" w:rsidRPr="0002648E" w:rsidRDefault="00C137D5" w:rsidP="00C137D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PMingLiU" w:eastAsia="PMingLiU" w:hAnsi="PMingLiU"/>
          <w:color w:val="333333"/>
          <w:lang w:eastAsia="zh-TW"/>
        </w:rPr>
      </w:pPr>
      <w:r>
        <w:rPr>
          <w:rFonts w:ascii="PMingLiU" w:eastAsia="PMingLiU" w:hAnsi="PMingLiU" w:cs="MS Gothic" w:hint="eastAsia"/>
          <w:color w:val="333333"/>
          <w:lang w:eastAsia="zh-TW"/>
        </w:rPr>
        <w:t xml:space="preserve">§2 </w:t>
      </w:r>
      <w:r w:rsidRPr="0002648E">
        <w:rPr>
          <w:rFonts w:ascii="PMingLiU" w:eastAsia="PMingLiU" w:hAnsi="PMingLiU" w:cs="MS Gothic" w:hint="eastAsia"/>
          <w:color w:val="333333"/>
          <w:lang w:eastAsia="zh-TW"/>
        </w:rPr>
        <w:t>其犯十惡者，</w:t>
      </w:r>
      <w:r w:rsidRPr="0002648E">
        <w:rPr>
          <w:rFonts w:ascii="PMingLiU" w:eastAsia="PMingLiU" w:hAnsi="PMingLiU" w:cs="MS Gothic" w:hint="eastAsia"/>
          <w:color w:val="3370FF"/>
          <w:vertAlign w:val="subscript"/>
          <w:lang w:eastAsia="zh-TW"/>
        </w:rPr>
        <w:t>實封奏聞，依律議擬。</w:t>
      </w:r>
      <w:r w:rsidRPr="0002648E">
        <w:rPr>
          <w:rFonts w:ascii="PMingLiU" w:eastAsia="PMingLiU" w:hAnsi="PMingLiU" w:cs="MS Gothic" w:hint="eastAsia"/>
          <w:color w:val="333333"/>
          <w:lang w:eastAsia="zh-TW"/>
        </w:rPr>
        <w:t>不用此律。</w:t>
      </w:r>
      <w:r w:rsidRPr="0002648E">
        <w:rPr>
          <w:rFonts w:ascii="PMingLiU" w:eastAsia="PMingLiU" w:hAnsi="PMingLiU" w:cs="MS Gothic" w:hint="eastAsia"/>
          <w:color w:val="3370FF"/>
          <w:vertAlign w:val="subscript"/>
          <w:lang w:eastAsia="zh-TW"/>
        </w:rPr>
        <w:t>十惡，或專主謀反、叛逆言，非也。蓋十惡之人，悖倫逆天，蔑禮賊義，乃王法所必誅。故特表之，以嚴其禁。</w:t>
      </w:r>
    </w:p>
    <w:p w:rsidR="00C137D5" w:rsidRPr="00ED77EF" w:rsidRDefault="00C137D5" w:rsidP="00C137D5">
      <w:pPr>
        <w:jc w:val="both"/>
        <w:rPr>
          <w:rFonts w:ascii="PMingLiU" w:hAnsi="PMingLiU"/>
          <w:szCs w:val="24"/>
          <w:lang w:val="fr-FR" w:eastAsia="zh-TW"/>
        </w:rPr>
      </w:pPr>
    </w:p>
    <w:p w:rsidR="00C137D5" w:rsidRPr="00ED77EF" w:rsidRDefault="00C137D5" w:rsidP="00C137D5">
      <w:pPr>
        <w:spacing w:after="160" w:line="259" w:lineRule="auto"/>
        <w:rPr>
          <w:rFonts w:ascii="PMingLiU" w:hAnsi="PMingLiU"/>
          <w:szCs w:val="24"/>
          <w:lang w:val="en-US" w:eastAsia="zh-TW"/>
        </w:rPr>
      </w:pPr>
      <w:r w:rsidRPr="00772A40">
        <w:rPr>
          <w:rFonts w:eastAsia="MS Gothic" w:cs="Times New Roman"/>
          <w:b/>
        </w:rPr>
        <w:t>Article 4 : « Des ayant droit à l’Immunité coupable</w:t>
      </w:r>
      <w:r>
        <w:rPr>
          <w:rFonts w:eastAsia="MS Gothic" w:cs="Times New Roman"/>
          <w:b/>
        </w:rPr>
        <w:t>s</w:t>
      </w:r>
      <w:r w:rsidRPr="00772A40">
        <w:rPr>
          <w:rFonts w:eastAsia="MS Gothic" w:cs="Times New Roman"/>
          <w:b/>
        </w:rPr>
        <w:t xml:space="preserve"> d’un crime »</w:t>
      </w:r>
    </w:p>
    <w:p w:rsidR="00C137D5" w:rsidRPr="00772A40" w:rsidRDefault="00C137D5" w:rsidP="00C137D5">
      <w:pPr>
        <w:spacing w:after="6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§1 </w:t>
      </w:r>
      <w:r w:rsidRPr="00772A40">
        <w:rPr>
          <w:rFonts w:cs="Times New Roman"/>
          <w:szCs w:val="20"/>
        </w:rPr>
        <w:t xml:space="preserve">Dans tout cas où des ayant droit aux Huit immunités sont coupables d’un crime : </w:t>
      </w:r>
      <w:r w:rsidRPr="00772A40">
        <w:rPr>
          <w:rFonts w:cs="Times New Roman"/>
          <w:color w:val="3370FF"/>
          <w:szCs w:val="21"/>
          <w:vertAlign w:val="subscript"/>
        </w:rPr>
        <w:t>exposer les faits du crime dont ils sont coupables et</w:t>
      </w:r>
      <w:r w:rsidRPr="00772A40">
        <w:rPr>
          <w:rFonts w:cs="Times New Roman"/>
          <w:szCs w:val="20"/>
        </w:rPr>
        <w:t xml:space="preserve"> envoyer un mémoire sous pli bien scellé sollicitant un rescrit impérial. Il n’est pas permis de les saisir et interroger</w:t>
      </w:r>
      <w:r>
        <w:rPr>
          <w:rFonts w:cs="Times New Roman"/>
          <w:szCs w:val="20"/>
        </w:rPr>
        <w:t xml:space="preserve"> sans autorisation et sans intermédiaire</w:t>
      </w:r>
      <w:r w:rsidRPr="00772A40">
        <w:rPr>
          <w:rFonts w:cs="Times New Roman"/>
          <w:szCs w:val="20"/>
        </w:rPr>
        <w:t xml:space="preserve">. Si un rescrit impérial est reçu de pousser en avant les investigations : exposer </w:t>
      </w:r>
      <w:r w:rsidRPr="00772A40">
        <w:rPr>
          <w:rFonts w:cs="Times New Roman"/>
          <w:color w:val="3370FF"/>
          <w:szCs w:val="21"/>
          <w:vertAlign w:val="subscript"/>
        </w:rPr>
        <w:t>le nom du crime</w:t>
      </w:r>
      <w:r w:rsidRPr="00772A40">
        <w:rPr>
          <w:rFonts w:cs="Times New Roman"/>
          <w:szCs w:val="20"/>
        </w:rPr>
        <w:t xml:space="preserve"> dont ils sont coupables et les circonstances donnant droit à l’Immunité et d’abord envoyer un mémoire demandant </w:t>
      </w:r>
      <w:r>
        <w:rPr>
          <w:rFonts w:cs="Times New Roman"/>
          <w:szCs w:val="20"/>
        </w:rPr>
        <w:t xml:space="preserve">la permission </w:t>
      </w:r>
      <w:r w:rsidRPr="00772A40">
        <w:rPr>
          <w:rFonts w:cs="Times New Roman"/>
          <w:szCs w:val="20"/>
        </w:rPr>
        <w:t>d’immuniser/de délibérer ; la délibération/l’immunité déterminée, envoyer par mémoire</w:t>
      </w:r>
      <w:r w:rsidRPr="00772A40">
        <w:rPr>
          <w:rFonts w:cs="Times New Roman"/>
          <w:color w:val="3370FF"/>
          <w:szCs w:val="21"/>
          <w:vertAlign w:val="subscript"/>
        </w:rPr>
        <w:t xml:space="preserve"> le processus de délibération/d’immunisation et les raisons</w:t>
      </w:r>
      <w:r>
        <w:rPr>
          <w:rFonts w:cs="Times New Roman"/>
          <w:color w:val="3370FF"/>
          <w:szCs w:val="21"/>
          <w:vertAlign w:val="subscript"/>
        </w:rPr>
        <w:t xml:space="preserve"> qui</w:t>
      </w:r>
      <w:r w:rsidRPr="00772A40">
        <w:rPr>
          <w:rFonts w:cs="Times New Roman"/>
          <w:color w:val="3370FF"/>
          <w:szCs w:val="21"/>
          <w:vertAlign w:val="subscript"/>
        </w:rPr>
        <w:t xml:space="preserve"> en sont ressorties (?)</w:t>
      </w:r>
      <w:r w:rsidRPr="00772A40">
        <w:rPr>
          <w:rFonts w:cs="Times New Roman"/>
          <w:szCs w:val="20"/>
        </w:rPr>
        <w:t xml:space="preserve"> sollicitant la décision de l’Empereur.</w:t>
      </w:r>
    </w:p>
    <w:p w:rsidR="00C137D5" w:rsidRDefault="00C137D5" w:rsidP="00C137D5">
      <w:pPr>
        <w:spacing w:after="120"/>
        <w:jc w:val="both"/>
        <w:rPr>
          <w:rFonts w:ascii="Times" w:hAnsi="Times"/>
          <w:color w:val="3370FF"/>
          <w:szCs w:val="21"/>
          <w:vertAlign w:val="subscript"/>
        </w:rPr>
      </w:pPr>
      <w:r>
        <w:rPr>
          <w:rFonts w:ascii="Times" w:hAnsi="Times"/>
          <w:szCs w:val="21"/>
        </w:rPr>
        <w:t xml:space="preserve">§2 Quant à ceux coupables </w:t>
      </w:r>
      <w:r>
        <w:rPr>
          <w:rFonts w:ascii="Calibri" w:hAnsi="Calibri"/>
          <w:szCs w:val="21"/>
        </w:rPr>
        <w:t>[</w:t>
      </w:r>
      <w:r>
        <w:rPr>
          <w:rFonts w:ascii="Times" w:hAnsi="Times"/>
          <w:szCs w:val="21"/>
        </w:rPr>
        <w:t>de l’un</w:t>
      </w:r>
      <w:r>
        <w:rPr>
          <w:rFonts w:ascii="Calibri" w:hAnsi="Calibri"/>
          <w:szCs w:val="21"/>
        </w:rPr>
        <w:t>]</w:t>
      </w:r>
      <w:r>
        <w:rPr>
          <w:rFonts w:ascii="Times" w:hAnsi="Times"/>
          <w:szCs w:val="21"/>
        </w:rPr>
        <w:t xml:space="preserve"> des Dix Sacrilèges : </w:t>
      </w:r>
      <w:r w:rsidRPr="00F60945">
        <w:rPr>
          <w:rFonts w:ascii="Times" w:hAnsi="Times"/>
          <w:color w:val="3370FF"/>
          <w:szCs w:val="21"/>
          <w:vertAlign w:val="subscript"/>
        </w:rPr>
        <w:t>envoyer un mémoire bien scellé et délibérer d’une proposition de peine en vertu de l’artic</w:t>
      </w:r>
      <w:r>
        <w:rPr>
          <w:rFonts w:ascii="Times" w:hAnsi="Times"/>
          <w:color w:val="3370FF"/>
          <w:szCs w:val="21"/>
          <w:vertAlign w:val="subscript"/>
        </w:rPr>
        <w:t>le [approprié] et</w:t>
      </w:r>
      <w:r>
        <w:rPr>
          <w:rFonts w:ascii="Times" w:hAnsi="Times"/>
          <w:szCs w:val="21"/>
        </w:rPr>
        <w:t xml:space="preserve"> ne pas utiliser cet article. </w:t>
      </w:r>
      <w:r w:rsidRPr="00D16073">
        <w:rPr>
          <w:rFonts w:ascii="Times" w:hAnsi="Times"/>
          <w:color w:val="3370FF"/>
          <w:szCs w:val="21"/>
          <w:vertAlign w:val="subscript"/>
        </w:rPr>
        <w:t>Quant aux « Dix Sacrilèges », certains avancent que cela se réfère exclusivement</w:t>
      </w:r>
      <w:r>
        <w:rPr>
          <w:rFonts w:ascii="Times" w:hAnsi="Times"/>
          <w:color w:val="3370FF"/>
          <w:szCs w:val="21"/>
          <w:vertAlign w:val="subscript"/>
        </w:rPr>
        <w:t xml:space="preserve"> au « Complot de r</w:t>
      </w:r>
      <w:r w:rsidRPr="00D16073">
        <w:rPr>
          <w:rFonts w:ascii="Times" w:hAnsi="Times"/>
          <w:color w:val="3370FF"/>
          <w:szCs w:val="21"/>
          <w:vertAlign w:val="subscript"/>
        </w:rPr>
        <w:t>ébellion », « </w:t>
      </w:r>
      <w:r>
        <w:rPr>
          <w:rFonts w:ascii="Times" w:hAnsi="Times"/>
          <w:color w:val="3370FF"/>
          <w:szCs w:val="21"/>
          <w:vertAlign w:val="subscript"/>
        </w:rPr>
        <w:t>de trahison » et « de [grande] sédition, mais</w:t>
      </w:r>
      <w:r w:rsidRPr="00D16073">
        <w:rPr>
          <w:rFonts w:ascii="Times" w:hAnsi="Times"/>
          <w:color w:val="3370FF"/>
          <w:szCs w:val="21"/>
          <w:vertAlign w:val="subscript"/>
        </w:rPr>
        <w:t xml:space="preserve"> cela est faux. En effet, une personne coupable </w:t>
      </w:r>
      <w:r>
        <w:rPr>
          <w:rFonts w:ascii="Calibri" w:hAnsi="Calibri"/>
          <w:color w:val="3370FF"/>
          <w:szCs w:val="21"/>
          <w:vertAlign w:val="subscript"/>
        </w:rPr>
        <w:t>[</w:t>
      </w:r>
      <w:r w:rsidRPr="00D16073">
        <w:rPr>
          <w:rFonts w:ascii="Times" w:hAnsi="Times"/>
          <w:color w:val="3370FF"/>
          <w:szCs w:val="21"/>
          <w:vertAlign w:val="subscript"/>
        </w:rPr>
        <w:t>de l’un</w:t>
      </w:r>
      <w:r>
        <w:rPr>
          <w:rFonts w:ascii="Calibri" w:hAnsi="Calibri"/>
          <w:color w:val="3370FF"/>
          <w:szCs w:val="21"/>
          <w:vertAlign w:val="subscript"/>
        </w:rPr>
        <w:t>]</w:t>
      </w:r>
      <w:r w:rsidRPr="00D16073">
        <w:rPr>
          <w:rFonts w:ascii="Times" w:hAnsi="Times"/>
          <w:color w:val="3370FF"/>
          <w:szCs w:val="21"/>
          <w:vertAlign w:val="subscript"/>
        </w:rPr>
        <w:t xml:space="preserve"> des Dix Sacrilèges contrevient aux relations humaines et </w:t>
      </w:r>
      <w:r>
        <w:rPr>
          <w:rFonts w:ascii="Times" w:hAnsi="Times"/>
          <w:color w:val="3370FF"/>
          <w:szCs w:val="21"/>
          <w:vertAlign w:val="subscript"/>
        </w:rPr>
        <w:t xml:space="preserve">va </w:t>
      </w:r>
      <w:r w:rsidRPr="00D16073">
        <w:rPr>
          <w:rFonts w:ascii="Times" w:hAnsi="Times"/>
          <w:color w:val="3370FF"/>
          <w:szCs w:val="21"/>
          <w:vertAlign w:val="subscript"/>
        </w:rPr>
        <w:t xml:space="preserve">à </w:t>
      </w:r>
      <w:r>
        <w:rPr>
          <w:rFonts w:ascii="Times" w:hAnsi="Times"/>
          <w:color w:val="3370FF"/>
          <w:szCs w:val="21"/>
          <w:vertAlign w:val="subscript"/>
        </w:rPr>
        <w:t>l’encontre de l’ordre naturel,</w:t>
      </w:r>
      <w:r w:rsidRPr="00D16073">
        <w:rPr>
          <w:rFonts w:ascii="Times" w:hAnsi="Times"/>
          <w:color w:val="3370FF"/>
          <w:szCs w:val="21"/>
          <w:vertAlign w:val="subscript"/>
        </w:rPr>
        <w:t xml:space="preserve"> dédaigne les rites et ruine la moralité</w:t>
      </w:r>
      <w:r>
        <w:rPr>
          <w:rFonts w:ascii="Times" w:hAnsi="Times"/>
          <w:color w:val="3370FF"/>
          <w:szCs w:val="21"/>
          <w:vertAlign w:val="subscript"/>
        </w:rPr>
        <w:t xml:space="preserve"> Ainsi est-ce ce qui doit être puni à mort par la loi du Souverain</w:t>
      </w:r>
      <w:r w:rsidRPr="00D16073">
        <w:rPr>
          <w:rFonts w:ascii="Times" w:hAnsi="Times"/>
          <w:color w:val="3370FF"/>
          <w:szCs w:val="21"/>
          <w:vertAlign w:val="subscript"/>
        </w:rPr>
        <w:t xml:space="preserve">. </w:t>
      </w:r>
      <w:r>
        <w:rPr>
          <w:rFonts w:ascii="Times" w:hAnsi="Times"/>
          <w:color w:val="3370FF"/>
          <w:szCs w:val="21"/>
          <w:vertAlign w:val="subscript"/>
        </w:rPr>
        <w:t>I</w:t>
      </w:r>
      <w:r w:rsidRPr="00D16073">
        <w:rPr>
          <w:rFonts w:ascii="Times" w:hAnsi="Times"/>
          <w:color w:val="3370FF"/>
          <w:szCs w:val="21"/>
          <w:vertAlign w:val="subscript"/>
        </w:rPr>
        <w:t>ls sont</w:t>
      </w:r>
      <w:r>
        <w:rPr>
          <w:rFonts w:ascii="Times" w:hAnsi="Times"/>
          <w:color w:val="3370FF"/>
          <w:szCs w:val="21"/>
          <w:vertAlign w:val="subscript"/>
        </w:rPr>
        <w:t xml:space="preserve"> donc</w:t>
      </w:r>
      <w:r w:rsidRPr="00D16073">
        <w:rPr>
          <w:rFonts w:ascii="Times" w:hAnsi="Times"/>
          <w:color w:val="3370FF"/>
          <w:szCs w:val="21"/>
          <w:vertAlign w:val="subscript"/>
        </w:rPr>
        <w:t xml:space="preserve"> exposés à part afin</w:t>
      </w:r>
      <w:r>
        <w:rPr>
          <w:rFonts w:ascii="Times" w:hAnsi="Times"/>
          <w:color w:val="3370FF"/>
          <w:szCs w:val="21"/>
          <w:vertAlign w:val="subscript"/>
        </w:rPr>
        <w:t xml:space="preserve"> qu’ils soient prohibés </w:t>
      </w:r>
      <w:r w:rsidRPr="00D16073">
        <w:rPr>
          <w:rFonts w:ascii="Times" w:hAnsi="Times"/>
          <w:color w:val="3370FF"/>
          <w:szCs w:val="21"/>
          <w:vertAlign w:val="subscript"/>
        </w:rPr>
        <w:t>sévèrement.</w:t>
      </w:r>
    </w:p>
    <w:p w:rsidR="00C137D5" w:rsidRDefault="00C137D5" w:rsidP="00C137D5">
      <w:pPr>
        <w:spacing w:after="120"/>
        <w:jc w:val="both"/>
        <w:rPr>
          <w:rFonts w:ascii="Times" w:hAnsi="Times"/>
          <w:color w:val="3370FF"/>
          <w:szCs w:val="21"/>
          <w:vertAlign w:val="subscript"/>
        </w:rPr>
      </w:pPr>
    </w:p>
    <w:p w:rsidR="00C137D5" w:rsidRDefault="00C137D5" w:rsidP="00C137D5">
      <w:pPr>
        <w:spacing w:after="60"/>
        <w:jc w:val="both"/>
        <w:rPr>
          <w:b/>
          <w:szCs w:val="24"/>
          <w:lang w:eastAsia="zh-TW"/>
        </w:rPr>
      </w:pPr>
      <w:r w:rsidRPr="0002648E">
        <w:rPr>
          <w:rFonts w:ascii="PMingLiU" w:hAnsi="PMingLiU" w:cs="MS Gothic" w:hint="eastAsia"/>
          <w:b/>
          <w:szCs w:val="24"/>
          <w:lang w:eastAsia="zh-TW"/>
        </w:rPr>
        <w:t>條例</w:t>
      </w:r>
      <w:r w:rsidRPr="0002648E">
        <w:rPr>
          <w:b/>
          <w:szCs w:val="24"/>
          <w:lang w:eastAsia="zh-TW"/>
        </w:rPr>
        <w:t>/</w:t>
      </w:r>
      <w:r w:rsidRPr="0002648E">
        <w:rPr>
          <w:b/>
          <w:i/>
          <w:szCs w:val="24"/>
          <w:lang w:eastAsia="zh-TW"/>
        </w:rPr>
        <w:t>tiaoli</w:t>
      </w:r>
      <w:r w:rsidRPr="0002648E">
        <w:rPr>
          <w:b/>
          <w:szCs w:val="24"/>
          <w:lang w:eastAsia="zh-TW"/>
        </w:rPr>
        <w:t xml:space="preserve"> 1</w:t>
      </w:r>
    </w:p>
    <w:p w:rsidR="00C137D5" w:rsidRPr="0002648E" w:rsidRDefault="00C137D5" w:rsidP="00C137D5">
      <w:pPr>
        <w:spacing w:after="120"/>
        <w:jc w:val="both"/>
        <w:rPr>
          <w:rFonts w:ascii="PMingLiU" w:hAnsi="PMingLiU" w:cs="MS Gothic"/>
          <w:color w:val="333333"/>
          <w:szCs w:val="24"/>
          <w:shd w:val="clear" w:color="auto" w:fill="FFFFFF"/>
          <w:lang w:eastAsia="zh-TW"/>
        </w:rPr>
      </w:pPr>
      <w:r w:rsidRPr="00E17FE7">
        <w:rPr>
          <w:rFonts w:ascii="PMingLiU" w:hAnsi="PMingLiU" w:cs="MS Gothic" w:hint="eastAsia"/>
          <w:color w:val="333333"/>
          <w:szCs w:val="24"/>
          <w:shd w:val="clear" w:color="auto" w:fill="FFFFFF"/>
          <w:lang w:eastAsia="zh-TW"/>
        </w:rPr>
        <w:t>凡應八議之</w:t>
      </w:r>
      <w:r w:rsidRPr="0002648E">
        <w:rPr>
          <w:rFonts w:ascii="PMingLiU" w:hAnsi="PMingLiU" w:cs="MS Gothic" w:hint="eastAsia"/>
          <w:color w:val="333333"/>
          <w:szCs w:val="24"/>
          <w:shd w:val="clear" w:color="auto" w:fill="FFFFFF"/>
          <w:lang w:eastAsia="zh-TW"/>
        </w:rPr>
        <w:t>人，問鞫不加考訊，皆據各證定罪。</w:t>
      </w:r>
    </w:p>
    <w:p w:rsidR="00C137D5" w:rsidRDefault="00C137D5" w:rsidP="00C137D5">
      <w:pPr>
        <w:spacing w:after="120"/>
        <w:jc w:val="both"/>
        <w:rPr>
          <w:rFonts w:ascii="Times" w:hAnsi="Times"/>
          <w:color w:val="3370FF"/>
          <w:szCs w:val="21"/>
          <w:vertAlign w:val="subscript"/>
        </w:rPr>
      </w:pPr>
    </w:p>
    <w:p w:rsidR="00C137D5" w:rsidRPr="000F6430" w:rsidRDefault="00C137D5" w:rsidP="00C137D5">
      <w:pPr>
        <w:spacing w:after="60"/>
        <w:jc w:val="both"/>
        <w:rPr>
          <w:rFonts w:cs="Times New Roman"/>
          <w:b/>
          <w:szCs w:val="21"/>
        </w:rPr>
      </w:pPr>
      <w:r w:rsidRPr="000F6430">
        <w:rPr>
          <w:rFonts w:cs="Times New Roman"/>
          <w:b/>
          <w:szCs w:val="21"/>
        </w:rPr>
        <w:t>Article additionnel 1</w:t>
      </w:r>
    </w:p>
    <w:p w:rsidR="00C137D5" w:rsidRDefault="00C137D5" w:rsidP="00C137D5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Dans tout cas impliquant des personnes ayant droit aux Huit Immunités : interroger sans mettre à la question et, dans tous les cas, déterminer le crime en s’appuyant sur chaque preuve/témoignage.</w:t>
      </w:r>
    </w:p>
    <w:p w:rsidR="00C137D5" w:rsidRDefault="00C137D5" w:rsidP="00C137D5">
      <w:pPr>
        <w:spacing w:after="120"/>
        <w:jc w:val="both"/>
        <w:rPr>
          <w:rFonts w:cs="Times New Roman"/>
          <w:szCs w:val="24"/>
        </w:rPr>
      </w:pPr>
    </w:p>
    <w:p w:rsidR="00C137D5" w:rsidRDefault="00C137D5" w:rsidP="00C137D5">
      <w:pPr>
        <w:spacing w:after="60"/>
        <w:jc w:val="both"/>
        <w:rPr>
          <w:b/>
          <w:szCs w:val="24"/>
          <w:lang w:eastAsia="zh-TW"/>
        </w:rPr>
      </w:pPr>
      <w:r w:rsidRPr="0002648E">
        <w:rPr>
          <w:rFonts w:ascii="PMingLiU" w:hAnsi="PMingLiU" w:cs="MS Gothic" w:hint="eastAsia"/>
          <w:b/>
          <w:szCs w:val="24"/>
          <w:lang w:eastAsia="zh-TW"/>
        </w:rPr>
        <w:lastRenderedPageBreak/>
        <w:t>條例</w:t>
      </w:r>
      <w:r w:rsidRPr="0002648E">
        <w:rPr>
          <w:b/>
          <w:szCs w:val="24"/>
          <w:lang w:eastAsia="zh-TW"/>
        </w:rPr>
        <w:t>/</w:t>
      </w:r>
      <w:r w:rsidRPr="0002648E">
        <w:rPr>
          <w:b/>
          <w:i/>
          <w:szCs w:val="24"/>
          <w:lang w:eastAsia="zh-TW"/>
        </w:rPr>
        <w:t>tiaoli</w:t>
      </w:r>
      <w:r>
        <w:rPr>
          <w:b/>
          <w:szCs w:val="24"/>
          <w:lang w:eastAsia="zh-TW"/>
        </w:rPr>
        <w:t xml:space="preserve"> 2</w:t>
      </w:r>
    </w:p>
    <w:p w:rsidR="00C137D5" w:rsidRDefault="00C137D5" w:rsidP="00C137D5">
      <w:pPr>
        <w:jc w:val="both"/>
        <w:rPr>
          <w:rFonts w:ascii="PMingLiU" w:hAnsi="PMingLiU"/>
          <w:szCs w:val="24"/>
          <w:lang w:val="fr-FR" w:eastAsia="zh-TW"/>
        </w:rPr>
      </w:pPr>
      <w:r w:rsidRPr="0002648E">
        <w:rPr>
          <w:rFonts w:ascii="PMingLiU" w:hAnsi="PMingLiU" w:hint="eastAsia"/>
          <w:szCs w:val="24"/>
          <w:lang w:eastAsia="zh-TW"/>
        </w:rPr>
        <w:t>三品以上大員，革職拿問，不得遽用刑夾，有不得不刑訊之事，請旨遵行。</w:t>
      </w:r>
    </w:p>
    <w:p w:rsidR="00C137D5" w:rsidRDefault="00C137D5" w:rsidP="00C137D5">
      <w:pPr>
        <w:spacing w:after="120"/>
        <w:jc w:val="both"/>
        <w:rPr>
          <w:rFonts w:cs="Times New Roman"/>
          <w:szCs w:val="24"/>
        </w:rPr>
      </w:pPr>
    </w:p>
    <w:p w:rsidR="00C137D5" w:rsidRPr="000F6430" w:rsidRDefault="00C137D5" w:rsidP="00C137D5">
      <w:pPr>
        <w:spacing w:after="60"/>
        <w:jc w:val="both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Article additionnel 2</w:t>
      </w:r>
    </w:p>
    <w:p w:rsidR="00C137D5" w:rsidRDefault="00C137D5" w:rsidP="00C137D5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Dans les cas impliquant des hauts fonctionnaires de 3</w:t>
      </w:r>
      <w:r w:rsidRPr="00E17FE7">
        <w:rPr>
          <w:rFonts w:cs="Times New Roman"/>
          <w:szCs w:val="24"/>
          <w:vertAlign w:val="superscript"/>
        </w:rPr>
        <w:t>e</w:t>
      </w:r>
      <w:r>
        <w:rPr>
          <w:rFonts w:cs="Times New Roman"/>
          <w:szCs w:val="24"/>
        </w:rPr>
        <w:t xml:space="preserve"> rang ou au-dessus : les casser de leur fonction avant de les saisir et interroger ; interdiction d’utiliser hâtivement l’étau de torture</w:t>
      </w:r>
      <w:r w:rsidRPr="00722293">
        <w:rPr>
          <w:rFonts w:cs="Times New Roman"/>
          <w:szCs w:val="24"/>
        </w:rPr>
        <w:t>. En</w:t>
      </w:r>
      <w:r>
        <w:rPr>
          <w:rFonts w:cs="Times New Roman"/>
          <w:szCs w:val="24"/>
        </w:rPr>
        <w:t xml:space="preserve"> cas d’affaire nécessitant de mettre à la torture : demander un rescrit impérial et agir conformément.</w:t>
      </w:r>
    </w:p>
    <w:p w:rsidR="00C137D5" w:rsidRPr="00ED77EF" w:rsidRDefault="00C137D5" w:rsidP="00C137D5">
      <w:pPr>
        <w:spacing w:after="160" w:line="259" w:lineRule="auto"/>
        <w:rPr>
          <w:rFonts w:cs="Times New Roman"/>
          <w:szCs w:val="24"/>
        </w:rPr>
      </w:pPr>
      <w:r>
        <w:rPr>
          <w:rFonts w:eastAsia="MS Gothic" w:cs="Times New Roman"/>
          <w:b/>
        </w:rPr>
        <w:t>Glossaire :</w:t>
      </w:r>
    </w:p>
    <w:p w:rsidR="00C137D5" w:rsidRDefault="00C137D5" w:rsidP="00C137D5">
      <w:pPr>
        <w:jc w:val="both"/>
        <w:rPr>
          <w:rFonts w:cs="Times New Roman"/>
          <w:szCs w:val="24"/>
        </w:rPr>
      </w:pPr>
      <w:proofErr w:type="spellStart"/>
      <w:r w:rsidRPr="00ED1B52">
        <w:rPr>
          <w:rFonts w:cs="Times New Roman" w:hint="eastAsia"/>
          <w:szCs w:val="24"/>
        </w:rPr>
        <w:t>開具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i/>
          <w:szCs w:val="24"/>
        </w:rPr>
        <w:t>kāijù </w:t>
      </w:r>
      <w:r>
        <w:rPr>
          <w:rFonts w:cs="Times New Roman"/>
          <w:szCs w:val="24"/>
        </w:rPr>
        <w:t>:</w:t>
      </w:r>
      <w:proofErr w:type="gramEnd"/>
      <w:r>
        <w:rPr>
          <w:rFonts w:cs="Times New Roman"/>
          <w:szCs w:val="24"/>
        </w:rPr>
        <w:t xml:space="preserve"> exposer (les faits, les circonstances)</w:t>
      </w:r>
    </w:p>
    <w:p w:rsidR="00C137D5" w:rsidRDefault="00C137D5" w:rsidP="00C137D5">
      <w:pPr>
        <w:jc w:val="both"/>
        <w:rPr>
          <w:rFonts w:cs="Times New Roman"/>
          <w:color w:val="333333"/>
          <w:lang w:eastAsia="zh-TW"/>
        </w:rPr>
      </w:pPr>
      <w:r w:rsidRPr="0002648E">
        <w:rPr>
          <w:rFonts w:ascii="PMingLiU" w:hAnsi="PMingLiU" w:cs="MS Gothic" w:hint="eastAsia"/>
          <w:color w:val="333333"/>
          <w:lang w:eastAsia="zh-TW"/>
        </w:rPr>
        <w:t>實封</w:t>
      </w:r>
      <w:r>
        <w:rPr>
          <w:rFonts w:cs="Times New Roman"/>
          <w:color w:val="333333"/>
          <w:lang w:eastAsia="zh-TW"/>
        </w:rPr>
        <w:t xml:space="preserve"> </w:t>
      </w:r>
      <w:r>
        <w:rPr>
          <w:rFonts w:cs="Times New Roman"/>
          <w:i/>
          <w:color w:val="333333"/>
          <w:lang w:eastAsia="zh-TW"/>
        </w:rPr>
        <w:t>shífēng </w:t>
      </w:r>
      <w:r>
        <w:rPr>
          <w:rFonts w:cs="Times New Roman"/>
          <w:color w:val="333333"/>
          <w:lang w:eastAsia="zh-TW"/>
        </w:rPr>
        <w:t>: sous pli bien scellé</w:t>
      </w:r>
    </w:p>
    <w:p w:rsidR="00C137D5" w:rsidRDefault="00C137D5" w:rsidP="00C137D5">
      <w:pPr>
        <w:jc w:val="both"/>
        <w:rPr>
          <w:rFonts w:cs="Times New Roman"/>
          <w:color w:val="333333"/>
          <w:lang w:eastAsia="zh-TW"/>
        </w:rPr>
      </w:pPr>
      <w:r w:rsidRPr="0002648E">
        <w:rPr>
          <w:rFonts w:ascii="PMingLiU" w:hAnsi="PMingLiU" w:cs="MS Gothic" w:hint="eastAsia"/>
          <w:color w:val="333333"/>
          <w:lang w:eastAsia="zh-TW"/>
        </w:rPr>
        <w:t>取</w:t>
      </w:r>
      <w:r>
        <w:rPr>
          <w:rFonts w:cs="Times New Roman"/>
          <w:color w:val="333333"/>
          <w:lang w:eastAsia="zh-TW"/>
        </w:rPr>
        <w:t xml:space="preserve"> </w:t>
      </w:r>
      <w:r>
        <w:rPr>
          <w:rFonts w:cs="Times New Roman"/>
          <w:i/>
          <w:color w:val="333333"/>
          <w:lang w:eastAsia="zh-TW"/>
        </w:rPr>
        <w:t>qŭ </w:t>
      </w:r>
      <w:r>
        <w:rPr>
          <w:rFonts w:cs="Times New Roman"/>
          <w:color w:val="333333"/>
          <w:lang w:eastAsia="zh-TW"/>
        </w:rPr>
        <w:t>: solliciter</w:t>
      </w:r>
    </w:p>
    <w:p w:rsidR="00C137D5" w:rsidRPr="00250303" w:rsidRDefault="00C137D5" w:rsidP="00C137D5">
      <w:pPr>
        <w:jc w:val="both"/>
        <w:rPr>
          <w:rFonts w:cs="Times New Roman"/>
          <w:color w:val="333333"/>
          <w:lang w:eastAsia="zh-TW"/>
        </w:rPr>
      </w:pPr>
      <w:r w:rsidRPr="0002648E">
        <w:rPr>
          <w:rFonts w:ascii="PMingLiU" w:hAnsi="PMingLiU" w:cs="MS Gothic" w:hint="eastAsia"/>
          <w:color w:val="333333"/>
          <w:lang w:eastAsia="zh-TW"/>
        </w:rPr>
        <w:t>擅自</w:t>
      </w:r>
      <w:r>
        <w:rPr>
          <w:rFonts w:cs="Times New Roman"/>
          <w:color w:val="333333"/>
          <w:lang w:eastAsia="zh-TW"/>
        </w:rPr>
        <w:t xml:space="preserve"> </w:t>
      </w:r>
      <w:r>
        <w:rPr>
          <w:rFonts w:cs="Times New Roman"/>
          <w:i/>
          <w:color w:val="333333"/>
          <w:lang w:eastAsia="zh-TW"/>
        </w:rPr>
        <w:t>shànzì </w:t>
      </w:r>
      <w:r>
        <w:rPr>
          <w:rFonts w:cs="Times New Roman"/>
          <w:color w:val="333333"/>
          <w:lang w:eastAsia="zh-TW"/>
        </w:rPr>
        <w:t>: sans autorisation et sans intermédiaire</w:t>
      </w:r>
    </w:p>
    <w:p w:rsidR="00C137D5" w:rsidRDefault="00C137D5" w:rsidP="00C137D5">
      <w:pPr>
        <w:jc w:val="both"/>
        <w:rPr>
          <w:rFonts w:cs="Times New Roman"/>
          <w:color w:val="333333"/>
          <w:lang w:eastAsia="zh-TW"/>
        </w:rPr>
      </w:pPr>
      <w:r w:rsidRPr="0002648E">
        <w:rPr>
          <w:rFonts w:ascii="PMingLiU" w:hAnsi="PMingLiU" w:cs="MS Gothic" w:hint="eastAsia"/>
          <w:color w:val="333333"/>
          <w:lang w:eastAsia="zh-TW"/>
        </w:rPr>
        <w:t>勾問</w:t>
      </w:r>
      <w:r>
        <w:rPr>
          <w:rFonts w:cs="Times New Roman"/>
          <w:color w:val="333333"/>
          <w:lang w:eastAsia="zh-TW"/>
        </w:rPr>
        <w:t xml:space="preserve"> </w:t>
      </w:r>
      <w:r w:rsidRPr="00250303">
        <w:rPr>
          <w:rFonts w:cs="Times New Roman"/>
          <w:i/>
          <w:color w:val="333333"/>
          <w:lang w:eastAsia="zh-TW"/>
        </w:rPr>
        <w:t>gō</w:t>
      </w:r>
      <w:r>
        <w:rPr>
          <w:rFonts w:cs="Times New Roman"/>
          <w:i/>
          <w:color w:val="333333"/>
          <w:lang w:eastAsia="zh-TW"/>
        </w:rPr>
        <w:t>uwèn </w:t>
      </w:r>
      <w:r>
        <w:rPr>
          <w:rFonts w:cs="Times New Roman"/>
          <w:color w:val="333333"/>
          <w:lang w:eastAsia="zh-TW"/>
        </w:rPr>
        <w:t>: saisir et interroger</w:t>
      </w:r>
    </w:p>
    <w:p w:rsidR="00C137D5" w:rsidRDefault="00C137D5" w:rsidP="00C137D5">
      <w:pPr>
        <w:jc w:val="both"/>
        <w:rPr>
          <w:rFonts w:cs="Times New Roman"/>
          <w:color w:val="333333"/>
          <w:lang w:eastAsia="zh-TW"/>
        </w:rPr>
      </w:pPr>
      <w:r w:rsidRPr="0002648E">
        <w:rPr>
          <w:rFonts w:ascii="PMingLiU" w:hAnsi="PMingLiU" w:cs="MS Gothic" w:hint="eastAsia"/>
          <w:color w:val="333333"/>
          <w:lang w:eastAsia="zh-TW"/>
        </w:rPr>
        <w:t>推問</w:t>
      </w:r>
      <w:r>
        <w:rPr>
          <w:rFonts w:cs="Times New Roman"/>
          <w:color w:val="333333"/>
          <w:lang w:eastAsia="zh-TW"/>
        </w:rPr>
        <w:t xml:space="preserve"> </w:t>
      </w:r>
      <w:r>
        <w:rPr>
          <w:rFonts w:cs="Times New Roman"/>
          <w:i/>
          <w:color w:val="333333"/>
          <w:lang w:eastAsia="zh-TW"/>
        </w:rPr>
        <w:t>tuīwèn </w:t>
      </w:r>
      <w:r>
        <w:rPr>
          <w:rFonts w:cs="Times New Roman"/>
          <w:color w:val="333333"/>
          <w:lang w:eastAsia="zh-TW"/>
        </w:rPr>
        <w:t>: pousser en avant les investigations ; procéder à l’interrogatoire (?)</w:t>
      </w:r>
    </w:p>
    <w:p w:rsidR="00C137D5" w:rsidRDefault="00C137D5" w:rsidP="00C137D5">
      <w:pPr>
        <w:jc w:val="both"/>
        <w:rPr>
          <w:rFonts w:cs="Times New Roman"/>
          <w:szCs w:val="24"/>
        </w:rPr>
      </w:pPr>
      <w:proofErr w:type="spellStart"/>
      <w:r>
        <w:rPr>
          <w:rFonts w:ascii="PMingLiU" w:hAnsi="PMingLiU" w:cs="Times New Roman" w:hint="eastAsia"/>
          <w:szCs w:val="24"/>
        </w:rPr>
        <w:t>議過緣出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yìguò </w:t>
      </w:r>
      <w:proofErr w:type="gramStart"/>
      <w:r>
        <w:rPr>
          <w:rFonts w:cs="Times New Roman"/>
          <w:i/>
          <w:szCs w:val="24"/>
        </w:rPr>
        <w:t>yuánchū</w:t>
      </w:r>
      <w:r w:rsidRPr="00250303">
        <w:rPr>
          <w:rFonts w:cs="Times New Roman"/>
          <w:szCs w:val="24"/>
        </w:rPr>
        <w:t> :</w:t>
      </w:r>
      <w:proofErr w:type="gramEnd"/>
      <w:r w:rsidRPr="00250303">
        <w:rPr>
          <w:rFonts w:cs="Times New Roman"/>
          <w:szCs w:val="24"/>
        </w:rPr>
        <w:t xml:space="preserve"> le processus de délibération/d’immunisation et les raisons </w:t>
      </w:r>
      <w:r>
        <w:rPr>
          <w:rFonts w:cs="Times New Roman"/>
          <w:szCs w:val="24"/>
        </w:rPr>
        <w:t xml:space="preserve">qui </w:t>
      </w:r>
      <w:r w:rsidRPr="00250303">
        <w:rPr>
          <w:rFonts w:cs="Times New Roman"/>
          <w:szCs w:val="24"/>
        </w:rPr>
        <w:t>en sont ressorties</w:t>
      </w:r>
      <w:r>
        <w:rPr>
          <w:rFonts w:cs="Times New Roman"/>
          <w:szCs w:val="24"/>
        </w:rPr>
        <w:t xml:space="preserve"> (?)</w:t>
      </w:r>
    </w:p>
    <w:p w:rsidR="00C137D5" w:rsidRDefault="00C137D5" w:rsidP="00C137D5">
      <w:pPr>
        <w:jc w:val="both"/>
        <w:rPr>
          <w:rFonts w:cs="Times New Roman"/>
          <w:color w:val="333333"/>
          <w:lang w:eastAsia="zh-TW"/>
        </w:rPr>
      </w:pPr>
      <w:r w:rsidRPr="0002648E">
        <w:rPr>
          <w:rFonts w:ascii="PMingLiU" w:hAnsi="PMingLiU" w:cs="MS Gothic" w:hint="eastAsia"/>
          <w:color w:val="333333"/>
          <w:lang w:eastAsia="zh-TW"/>
        </w:rPr>
        <w:t>上裁</w:t>
      </w:r>
      <w:r>
        <w:rPr>
          <w:rFonts w:cs="Times New Roman"/>
          <w:color w:val="333333"/>
          <w:lang w:eastAsia="zh-TW"/>
        </w:rPr>
        <w:t xml:space="preserve"> </w:t>
      </w:r>
      <w:r>
        <w:rPr>
          <w:rFonts w:cs="Times New Roman"/>
          <w:i/>
          <w:color w:val="333333"/>
          <w:lang w:eastAsia="zh-TW"/>
        </w:rPr>
        <w:t>shàngcái </w:t>
      </w:r>
      <w:r>
        <w:rPr>
          <w:rFonts w:cs="Times New Roman"/>
          <w:color w:val="333333"/>
          <w:lang w:eastAsia="zh-TW"/>
        </w:rPr>
        <w:t>: décision de l’Empereur</w:t>
      </w:r>
    </w:p>
    <w:p w:rsidR="00C137D5" w:rsidRPr="00B57F06" w:rsidRDefault="00C137D5" w:rsidP="00C137D5">
      <w:pPr>
        <w:jc w:val="both"/>
        <w:rPr>
          <w:rFonts w:cs="Times New Roman"/>
          <w:color w:val="333333"/>
          <w:szCs w:val="24"/>
          <w:shd w:val="clear" w:color="auto" w:fill="FFFFFF"/>
          <w:lang w:eastAsia="zh-TW"/>
        </w:rPr>
      </w:pPr>
      <w:r>
        <w:rPr>
          <w:rFonts w:ascii="PMingLiU" w:hAnsi="PMingLiU" w:cs="MS Gothic" w:hint="eastAsia"/>
          <w:color w:val="333333"/>
          <w:szCs w:val="24"/>
          <w:shd w:val="clear" w:color="auto" w:fill="FFFFFF"/>
          <w:lang w:eastAsia="zh-TW"/>
        </w:rPr>
        <w:t>問鞫</w:t>
      </w:r>
      <w:r>
        <w:rPr>
          <w:rFonts w:cs="Times New Roman"/>
          <w:color w:val="333333"/>
          <w:szCs w:val="24"/>
          <w:shd w:val="clear" w:color="auto" w:fill="FFFFFF"/>
          <w:lang w:eastAsia="zh-TW"/>
        </w:rPr>
        <w:t xml:space="preserve"> </w:t>
      </w:r>
      <w:r>
        <w:rPr>
          <w:rFonts w:cs="Times New Roman"/>
          <w:i/>
          <w:color w:val="333333"/>
          <w:szCs w:val="24"/>
          <w:shd w:val="clear" w:color="auto" w:fill="FFFFFF"/>
          <w:lang w:eastAsia="zh-TW"/>
        </w:rPr>
        <w:t>wènjū </w:t>
      </w:r>
      <w:r>
        <w:rPr>
          <w:rFonts w:cs="Times New Roman"/>
          <w:color w:val="333333"/>
          <w:szCs w:val="24"/>
          <w:shd w:val="clear" w:color="auto" w:fill="FFFFFF"/>
          <w:lang w:eastAsia="zh-TW"/>
        </w:rPr>
        <w:t>: interroger</w:t>
      </w:r>
    </w:p>
    <w:p w:rsidR="00C137D5" w:rsidRDefault="00C137D5" w:rsidP="00C137D5">
      <w:pPr>
        <w:jc w:val="both"/>
        <w:rPr>
          <w:rFonts w:cs="Times New Roman"/>
          <w:color w:val="333333"/>
          <w:szCs w:val="24"/>
          <w:shd w:val="clear" w:color="auto" w:fill="FFFFFF"/>
          <w:lang w:eastAsia="zh-TW"/>
        </w:rPr>
      </w:pPr>
      <w:r w:rsidRPr="0002648E">
        <w:rPr>
          <w:rFonts w:ascii="PMingLiU" w:hAnsi="PMingLiU" w:cs="MS Gothic" w:hint="eastAsia"/>
          <w:color w:val="333333"/>
          <w:szCs w:val="24"/>
          <w:shd w:val="clear" w:color="auto" w:fill="FFFFFF"/>
          <w:lang w:eastAsia="zh-TW"/>
        </w:rPr>
        <w:t>考訊</w:t>
      </w:r>
      <w:r>
        <w:rPr>
          <w:rFonts w:cs="Times New Roman"/>
          <w:color w:val="333333"/>
          <w:szCs w:val="24"/>
          <w:shd w:val="clear" w:color="auto" w:fill="FFFFFF"/>
          <w:lang w:eastAsia="zh-TW"/>
        </w:rPr>
        <w:t xml:space="preserve"> </w:t>
      </w:r>
      <w:r>
        <w:rPr>
          <w:rFonts w:cs="Times New Roman"/>
          <w:i/>
          <w:color w:val="333333"/>
          <w:szCs w:val="24"/>
          <w:shd w:val="clear" w:color="auto" w:fill="FFFFFF"/>
          <w:lang w:eastAsia="zh-TW"/>
        </w:rPr>
        <w:t>kăoxùn </w:t>
      </w:r>
      <w:r>
        <w:rPr>
          <w:rFonts w:cs="Times New Roman"/>
          <w:color w:val="333333"/>
          <w:szCs w:val="24"/>
          <w:shd w:val="clear" w:color="auto" w:fill="FFFFFF"/>
          <w:lang w:eastAsia="zh-TW"/>
        </w:rPr>
        <w:t>: mettre à la question</w:t>
      </w:r>
    </w:p>
    <w:p w:rsidR="00C137D5" w:rsidRDefault="00C137D5" w:rsidP="00C137D5">
      <w:pPr>
        <w:jc w:val="both"/>
        <w:rPr>
          <w:rFonts w:cs="Times New Roman"/>
          <w:szCs w:val="24"/>
          <w:lang w:eastAsia="zh-TW"/>
        </w:rPr>
      </w:pPr>
      <w:r w:rsidRPr="0002648E">
        <w:rPr>
          <w:rFonts w:ascii="PMingLiU" w:hAnsi="PMingLiU" w:hint="eastAsia"/>
          <w:szCs w:val="24"/>
          <w:lang w:eastAsia="zh-TW"/>
        </w:rPr>
        <w:t>革</w:t>
      </w:r>
      <w:r>
        <w:rPr>
          <w:rFonts w:cs="Times New Roman"/>
          <w:szCs w:val="24"/>
          <w:lang w:eastAsia="zh-TW"/>
        </w:rPr>
        <w:t xml:space="preserve"> </w:t>
      </w:r>
      <w:r>
        <w:rPr>
          <w:rFonts w:cs="Times New Roman"/>
          <w:i/>
          <w:szCs w:val="24"/>
          <w:lang w:eastAsia="zh-TW"/>
        </w:rPr>
        <w:t>gé </w:t>
      </w:r>
      <w:r>
        <w:rPr>
          <w:rFonts w:cs="Times New Roman"/>
          <w:szCs w:val="24"/>
          <w:lang w:eastAsia="zh-TW"/>
        </w:rPr>
        <w:t xml:space="preserve">: casser de (une fonction, une charge, un droit, </w:t>
      </w:r>
      <w:r>
        <w:rPr>
          <w:rFonts w:cs="Times New Roman"/>
          <w:i/>
          <w:szCs w:val="24"/>
          <w:lang w:eastAsia="zh-TW"/>
        </w:rPr>
        <w:t>etc.</w:t>
      </w:r>
      <w:r>
        <w:rPr>
          <w:rFonts w:cs="Times New Roman"/>
          <w:szCs w:val="24"/>
          <w:lang w:eastAsia="zh-TW"/>
        </w:rPr>
        <w:t>)</w:t>
      </w:r>
    </w:p>
    <w:p w:rsidR="00C137D5" w:rsidRPr="00B57F06" w:rsidRDefault="00C137D5" w:rsidP="00C137D5">
      <w:pPr>
        <w:jc w:val="both"/>
        <w:rPr>
          <w:rFonts w:cs="Times New Roman"/>
          <w:szCs w:val="24"/>
          <w:lang w:eastAsia="zh-TW"/>
        </w:rPr>
      </w:pPr>
      <w:r w:rsidRPr="0002648E">
        <w:rPr>
          <w:rFonts w:ascii="PMingLiU" w:hAnsi="PMingLiU" w:hint="eastAsia"/>
          <w:szCs w:val="24"/>
          <w:lang w:eastAsia="zh-TW"/>
        </w:rPr>
        <w:t>拿問</w:t>
      </w:r>
      <w:r>
        <w:rPr>
          <w:rFonts w:cs="Times New Roman"/>
          <w:szCs w:val="24"/>
          <w:lang w:eastAsia="zh-TW"/>
        </w:rPr>
        <w:t xml:space="preserve"> </w:t>
      </w:r>
      <w:r>
        <w:rPr>
          <w:rFonts w:cs="Times New Roman"/>
          <w:i/>
          <w:szCs w:val="24"/>
          <w:lang w:eastAsia="zh-TW"/>
        </w:rPr>
        <w:t>náwèn </w:t>
      </w:r>
      <w:r>
        <w:rPr>
          <w:rFonts w:cs="Times New Roman"/>
          <w:szCs w:val="24"/>
          <w:lang w:eastAsia="zh-TW"/>
        </w:rPr>
        <w:t>: saisir et interroger</w:t>
      </w:r>
    </w:p>
    <w:p w:rsidR="00C137D5" w:rsidRPr="00B57F06" w:rsidRDefault="00C137D5" w:rsidP="00C137D5">
      <w:pPr>
        <w:jc w:val="both"/>
        <w:rPr>
          <w:rFonts w:cs="Times New Roman"/>
          <w:szCs w:val="24"/>
          <w:lang w:eastAsia="zh-TW"/>
        </w:rPr>
      </w:pPr>
      <w:r w:rsidRPr="0002648E">
        <w:rPr>
          <w:rFonts w:ascii="PMingLiU" w:hAnsi="PMingLiU" w:hint="eastAsia"/>
          <w:szCs w:val="24"/>
          <w:lang w:eastAsia="zh-TW"/>
        </w:rPr>
        <w:t>遽</w:t>
      </w:r>
      <w:r>
        <w:rPr>
          <w:rFonts w:cs="Times New Roman"/>
          <w:szCs w:val="24"/>
          <w:lang w:eastAsia="zh-TW"/>
        </w:rPr>
        <w:t xml:space="preserve"> </w:t>
      </w:r>
      <w:r>
        <w:rPr>
          <w:rFonts w:cs="Times New Roman"/>
          <w:i/>
          <w:szCs w:val="24"/>
          <w:lang w:eastAsia="zh-TW"/>
        </w:rPr>
        <w:t>jù </w:t>
      </w:r>
      <w:r>
        <w:rPr>
          <w:rFonts w:cs="Times New Roman"/>
          <w:szCs w:val="24"/>
          <w:lang w:eastAsia="zh-TW"/>
        </w:rPr>
        <w:t>: à la hâte, hâtivement, avec empressement</w:t>
      </w:r>
    </w:p>
    <w:p w:rsidR="00C137D5" w:rsidRDefault="00C137D5" w:rsidP="00C137D5">
      <w:pPr>
        <w:jc w:val="both"/>
        <w:rPr>
          <w:rFonts w:cs="Times New Roman"/>
          <w:szCs w:val="24"/>
          <w:lang w:eastAsia="zh-TW"/>
        </w:rPr>
      </w:pPr>
      <w:r w:rsidRPr="0002648E">
        <w:rPr>
          <w:rFonts w:ascii="PMingLiU" w:hAnsi="PMingLiU" w:hint="eastAsia"/>
          <w:szCs w:val="24"/>
          <w:lang w:eastAsia="zh-TW"/>
        </w:rPr>
        <w:t>刑夾</w:t>
      </w:r>
      <w:r>
        <w:rPr>
          <w:rFonts w:cs="Times New Roman"/>
          <w:szCs w:val="24"/>
          <w:lang w:eastAsia="zh-TW"/>
        </w:rPr>
        <w:t xml:space="preserve"> </w:t>
      </w:r>
      <w:r>
        <w:rPr>
          <w:rFonts w:cs="Times New Roman"/>
          <w:i/>
          <w:szCs w:val="24"/>
          <w:lang w:eastAsia="zh-TW"/>
        </w:rPr>
        <w:t>yòngxíng </w:t>
      </w:r>
      <w:r>
        <w:rPr>
          <w:rFonts w:cs="Times New Roman"/>
          <w:szCs w:val="24"/>
          <w:lang w:eastAsia="zh-TW"/>
        </w:rPr>
        <w:t xml:space="preserve">: l’étau de torture (= </w:t>
      </w:r>
      <w:r w:rsidRPr="00B57F06">
        <w:rPr>
          <w:rFonts w:cs="Times New Roman" w:hint="eastAsia"/>
          <w:szCs w:val="24"/>
          <w:lang w:eastAsia="zh-TW"/>
        </w:rPr>
        <w:t>夾棍</w:t>
      </w:r>
      <w:r>
        <w:rPr>
          <w:rFonts w:cs="Times New Roman" w:hint="eastAsia"/>
          <w:szCs w:val="24"/>
          <w:lang w:eastAsia="zh-TW"/>
        </w:rPr>
        <w:t xml:space="preserve"> </w:t>
      </w:r>
      <w:r w:rsidRPr="00B57F06">
        <w:rPr>
          <w:rFonts w:cs="Times New Roman"/>
          <w:i/>
          <w:szCs w:val="24"/>
          <w:lang w:eastAsia="zh-TW"/>
        </w:rPr>
        <w:t>jiāgùn</w:t>
      </w:r>
      <w:r>
        <w:rPr>
          <w:rFonts w:cs="Times New Roman"/>
          <w:i/>
          <w:szCs w:val="24"/>
          <w:lang w:eastAsia="zh-TW"/>
        </w:rPr>
        <w:t> </w:t>
      </w:r>
      <w:r>
        <w:rPr>
          <w:rFonts w:cs="Times New Roman"/>
          <w:szCs w:val="24"/>
          <w:lang w:eastAsia="zh-TW"/>
        </w:rPr>
        <w:t>: l’étau de bois ?)</w:t>
      </w:r>
    </w:p>
    <w:p w:rsidR="00C137D5" w:rsidRDefault="00C137D5" w:rsidP="00C137D5">
      <w:pPr>
        <w:jc w:val="both"/>
        <w:rPr>
          <w:rFonts w:cs="Times New Roman"/>
          <w:szCs w:val="24"/>
          <w:lang w:eastAsia="zh-TW"/>
        </w:rPr>
      </w:pPr>
      <w:r w:rsidRPr="0002648E">
        <w:rPr>
          <w:rFonts w:ascii="PMingLiU" w:hAnsi="PMingLiU" w:hint="eastAsia"/>
          <w:szCs w:val="24"/>
          <w:lang w:eastAsia="zh-TW"/>
        </w:rPr>
        <w:t>刑訊</w:t>
      </w:r>
      <w:r>
        <w:rPr>
          <w:rFonts w:cs="Times New Roman"/>
          <w:szCs w:val="24"/>
          <w:lang w:eastAsia="zh-TW"/>
        </w:rPr>
        <w:t xml:space="preserve"> </w:t>
      </w:r>
      <w:r>
        <w:rPr>
          <w:rFonts w:cs="Times New Roman"/>
          <w:i/>
          <w:szCs w:val="24"/>
          <w:lang w:eastAsia="zh-TW"/>
        </w:rPr>
        <w:t>xíngxùn </w:t>
      </w:r>
      <w:r>
        <w:rPr>
          <w:rFonts w:cs="Times New Roman"/>
          <w:szCs w:val="24"/>
          <w:lang w:eastAsia="zh-TW"/>
        </w:rPr>
        <w:t>: mettre à la torture</w:t>
      </w:r>
    </w:p>
    <w:p w:rsidR="00C137D5" w:rsidRPr="00B57F06" w:rsidRDefault="00C137D5" w:rsidP="00C137D5">
      <w:pPr>
        <w:jc w:val="both"/>
        <w:rPr>
          <w:rFonts w:cs="Times New Roman"/>
          <w:szCs w:val="24"/>
        </w:rPr>
      </w:pPr>
      <w:r w:rsidRPr="0002648E">
        <w:rPr>
          <w:rFonts w:ascii="PMingLiU" w:hAnsi="PMingLiU" w:hint="eastAsia"/>
          <w:szCs w:val="24"/>
          <w:lang w:eastAsia="zh-TW"/>
        </w:rPr>
        <w:t>遵行</w:t>
      </w:r>
      <w:r>
        <w:rPr>
          <w:rFonts w:cs="Times New Roman"/>
          <w:szCs w:val="24"/>
          <w:lang w:eastAsia="zh-TW"/>
        </w:rPr>
        <w:t xml:space="preserve"> </w:t>
      </w:r>
      <w:r>
        <w:rPr>
          <w:rFonts w:cs="Times New Roman"/>
          <w:i/>
          <w:szCs w:val="24"/>
          <w:lang w:eastAsia="zh-TW"/>
        </w:rPr>
        <w:t>zūnxíng </w:t>
      </w:r>
      <w:r>
        <w:rPr>
          <w:rFonts w:cs="Times New Roman"/>
          <w:szCs w:val="24"/>
          <w:lang w:eastAsia="zh-TW"/>
        </w:rPr>
        <w:t>: agir conformément</w:t>
      </w:r>
    </w:p>
    <w:p w:rsidR="00700937" w:rsidRDefault="00700937"/>
    <w:sectPr w:rsidR="00700937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D5"/>
    <w:rsid w:val="00450AF3"/>
    <w:rsid w:val="00563BEB"/>
    <w:rsid w:val="00700937"/>
    <w:rsid w:val="00C137D5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E31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D5"/>
    <w:pPr>
      <w:spacing w:line="360" w:lineRule="auto"/>
    </w:pPr>
    <w:rPr>
      <w:rFonts w:eastAsia="PMingLiU" w:cstheme="minorBidi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7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D5"/>
    <w:pPr>
      <w:spacing w:line="360" w:lineRule="auto"/>
    </w:pPr>
    <w:rPr>
      <w:rFonts w:eastAsia="PMingLiU" w:cstheme="minorBidi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7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2559</Characters>
  <Application>Microsoft Macintosh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</cp:revision>
  <dcterms:created xsi:type="dcterms:W3CDTF">2017-03-18T11:14:00Z</dcterms:created>
  <dcterms:modified xsi:type="dcterms:W3CDTF">2017-03-18T11:14:00Z</dcterms:modified>
</cp:coreProperties>
</file>