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0F9D" w14:textId="77777777" w:rsidR="00E03E90" w:rsidRPr="00E03E90" w:rsidRDefault="00E03E90" w:rsidP="008C171E">
      <w:pPr>
        <w:rPr>
          <w:lang w:eastAsia="fr-FR"/>
        </w:rPr>
      </w:pPr>
      <w:r w:rsidRPr="00E03E90">
        <w:rPr>
          <w:lang w:eastAsia="fr-FR"/>
        </w:rPr>
        <w:fldChar w:fldCharType="begin"/>
      </w:r>
      <w:r w:rsidRPr="00E03E90">
        <w:rPr>
          <w:lang w:eastAsia="fr-FR"/>
        </w:rPr>
        <w:instrText xml:space="preserve"> HYPERLINK "http://lsc.chineselegalculture.org/eC/DQLL_1740/5.6.3.274" </w:instrText>
      </w:r>
      <w:r w:rsidRPr="00E03E90">
        <w:rPr>
          <w:lang w:eastAsia="fr-FR"/>
        </w:rPr>
        <w:fldChar w:fldCharType="separate"/>
      </w:r>
      <w:r w:rsidRPr="00E03E90">
        <w:rPr>
          <w:color w:val="0000FF"/>
          <w:u w:val="single"/>
          <w:lang w:eastAsia="fr-FR"/>
        </w:rPr>
        <w:t>律</w:t>
      </w:r>
      <w:r w:rsidRPr="00E03E90">
        <w:rPr>
          <w:color w:val="0000FF"/>
          <w:u w:val="single"/>
          <w:lang w:eastAsia="fr-FR"/>
        </w:rPr>
        <w:t>/</w:t>
      </w:r>
      <w:proofErr w:type="spellStart"/>
      <w:r w:rsidRPr="00E03E90">
        <w:rPr>
          <w:color w:val="0000FF"/>
          <w:u w:val="single"/>
          <w:lang w:eastAsia="fr-FR"/>
        </w:rPr>
        <w:t>l</w:t>
      </w:r>
      <w:r w:rsidRPr="00E03E90">
        <w:rPr>
          <w:color w:val="0000FF"/>
          <w:u w:val="single"/>
          <w:lang w:eastAsia="fr-FR"/>
        </w:rPr>
        <w:t>ü</w:t>
      </w:r>
      <w:proofErr w:type="spellEnd"/>
      <w:r w:rsidRPr="00E03E90">
        <w:rPr>
          <w:color w:val="0000FF"/>
          <w:u w:val="single"/>
          <w:lang w:eastAsia="fr-FR"/>
        </w:rPr>
        <w:t xml:space="preserve"> 274 | </w:t>
      </w:r>
      <w:proofErr w:type="spellStart"/>
      <w:r w:rsidRPr="00E03E90">
        <w:rPr>
          <w:color w:val="0000FF"/>
          <w:u w:val="single"/>
          <w:lang w:eastAsia="fr-FR"/>
        </w:rPr>
        <w:t>Zhaqi</w:t>
      </w:r>
      <w:proofErr w:type="spellEnd"/>
      <w:r w:rsidRPr="00E03E90">
        <w:rPr>
          <w:color w:val="0000FF"/>
          <w:u w:val="single"/>
          <w:lang w:eastAsia="fr-FR"/>
        </w:rPr>
        <w:t xml:space="preserve"> </w:t>
      </w:r>
      <w:proofErr w:type="spellStart"/>
      <w:r w:rsidRPr="00E03E90">
        <w:rPr>
          <w:color w:val="0000FF"/>
          <w:u w:val="single"/>
          <w:lang w:eastAsia="fr-FR"/>
        </w:rPr>
        <w:t>guansi</w:t>
      </w:r>
      <w:proofErr w:type="spellEnd"/>
      <w:r w:rsidRPr="00E03E90">
        <w:rPr>
          <w:color w:val="0000FF"/>
          <w:u w:val="single"/>
          <w:lang w:eastAsia="fr-FR"/>
        </w:rPr>
        <w:t xml:space="preserve"> </w:t>
      </w:r>
      <w:proofErr w:type="spellStart"/>
      <w:r w:rsidRPr="00E03E90">
        <w:rPr>
          <w:color w:val="0000FF"/>
          <w:u w:val="single"/>
          <w:lang w:eastAsia="fr-FR"/>
        </w:rPr>
        <w:t>qucai</w:t>
      </w:r>
      <w:proofErr w:type="spellEnd"/>
      <w:r w:rsidRPr="00E03E90">
        <w:rPr>
          <w:color w:val="0000FF"/>
          <w:u w:val="single"/>
          <w:lang w:eastAsia="fr-FR"/>
        </w:rPr>
        <w:t xml:space="preserve"> </w:t>
      </w:r>
      <w:proofErr w:type="spellStart"/>
      <w:r w:rsidRPr="00E03E90">
        <w:rPr>
          <w:color w:val="0000FF"/>
          <w:u w:val="single"/>
          <w:lang w:eastAsia="fr-FR"/>
        </w:rPr>
        <w:t>詐欺官私取財</w:t>
      </w:r>
      <w:proofErr w:type="spellEnd"/>
      <w:r w:rsidRPr="00E03E90">
        <w:rPr>
          <w:lang w:eastAsia="fr-FR"/>
        </w:rPr>
        <w:fldChar w:fldCharType="end"/>
      </w:r>
    </w:p>
    <w:p w14:paraId="00CFDFB8" w14:textId="77777777" w:rsidR="008C171E" w:rsidRPr="00DB5CDC" w:rsidRDefault="00E03E90" w:rsidP="008C171E">
      <w:pPr>
        <w:rPr>
          <w:rFonts w:ascii="細明體" w:eastAsia="細明體" w:hAnsi="細明體"/>
          <w:lang w:eastAsia="fr-FR"/>
        </w:rPr>
      </w:pPr>
      <w:r w:rsidRPr="00DB5CDC">
        <w:rPr>
          <w:rFonts w:ascii="細明體" w:eastAsia="細明體" w:hAnsi="細明體"/>
          <w:lang w:eastAsia="fr-FR"/>
        </w:rPr>
        <w:t>凡用計詐</w:t>
      </w:r>
      <w:r w:rsidRPr="00DB5CDC">
        <w:rPr>
          <w:rFonts w:ascii="細明體" w:eastAsia="細明體" w:hAnsi="細明體"/>
          <w:color w:val="3370FF"/>
          <w:sz w:val="36"/>
          <w:szCs w:val="36"/>
          <w:vertAlign w:val="subscript"/>
          <w:lang w:eastAsia="fr-FR"/>
        </w:rPr>
        <w:t>偽</w:t>
      </w:r>
      <w:r w:rsidRPr="00DB5CDC">
        <w:rPr>
          <w:rFonts w:ascii="細明體" w:eastAsia="細明體" w:hAnsi="細明體"/>
          <w:lang w:eastAsia="fr-FR"/>
        </w:rPr>
        <w:t>欺</w:t>
      </w:r>
      <w:r w:rsidRPr="00DB5CDC">
        <w:rPr>
          <w:rFonts w:ascii="細明體" w:eastAsia="細明體" w:hAnsi="細明體"/>
          <w:color w:val="3370FF"/>
          <w:sz w:val="36"/>
          <w:szCs w:val="36"/>
          <w:vertAlign w:val="subscript"/>
          <w:lang w:eastAsia="fr-FR"/>
        </w:rPr>
        <w:t>瞞</w:t>
      </w:r>
      <w:r w:rsidRPr="00DB5CDC">
        <w:rPr>
          <w:rFonts w:ascii="細明體" w:eastAsia="細明體" w:hAnsi="細明體"/>
          <w:lang w:eastAsia="fr-FR"/>
        </w:rPr>
        <w:t>官私，以取財物者，並計</w:t>
      </w:r>
      <w:r w:rsidRPr="00DB5CDC">
        <w:rPr>
          <w:rFonts w:ascii="細明體" w:eastAsia="細明體" w:hAnsi="細明體"/>
          <w:color w:val="3370FF"/>
          <w:sz w:val="36"/>
          <w:szCs w:val="36"/>
          <w:vertAlign w:val="subscript"/>
          <w:lang w:eastAsia="fr-FR"/>
        </w:rPr>
        <w:t>詐欺之</w:t>
      </w:r>
      <w:r w:rsidRPr="00DB5CDC">
        <w:rPr>
          <w:rFonts w:ascii="細明體" w:eastAsia="細明體" w:hAnsi="細明體" w:cs="儷宋 Pro" w:hint="eastAsia"/>
          <w:lang w:eastAsia="fr-FR"/>
        </w:rPr>
        <w:t>贜</w:t>
      </w:r>
      <w:r w:rsidRPr="00DB5CDC">
        <w:rPr>
          <w:rFonts w:ascii="細明體" w:eastAsia="細明體" w:hAnsi="細明體"/>
          <w:lang w:eastAsia="fr-FR"/>
        </w:rPr>
        <w:t>，准竊盜論，免刺。若期親以下</w:t>
      </w:r>
      <w:r w:rsidRPr="00DB5CDC">
        <w:rPr>
          <w:rFonts w:ascii="細明體" w:eastAsia="細明體" w:hAnsi="細明體"/>
          <w:color w:val="3370FF"/>
          <w:sz w:val="36"/>
          <w:szCs w:val="36"/>
          <w:vertAlign w:val="subscript"/>
          <w:lang w:eastAsia="fr-FR"/>
        </w:rPr>
        <w:t>不問尊長卑幼，同居、各居。</w:t>
      </w:r>
      <w:r w:rsidRPr="00DB5CDC">
        <w:rPr>
          <w:rFonts w:ascii="細明體" w:eastAsia="細明體" w:hAnsi="細明體"/>
          <w:lang w:eastAsia="fr-FR"/>
        </w:rPr>
        <w:t>自相詐欺者，亦依親屬相盜律，遞減科罪。</w:t>
      </w:r>
    </w:p>
    <w:p w14:paraId="41C6359D" w14:textId="77777777" w:rsidR="00E03E90" w:rsidRPr="00DB5CDC" w:rsidRDefault="00E03E90" w:rsidP="008C171E">
      <w:pPr>
        <w:rPr>
          <w:rFonts w:ascii="細明體" w:eastAsia="細明體" w:hAnsi="細明體"/>
          <w:lang w:eastAsia="fr-FR"/>
        </w:rPr>
      </w:pPr>
      <w:r w:rsidRPr="00DB5CDC">
        <w:rPr>
          <w:rFonts w:ascii="細明體" w:eastAsia="細明體" w:hAnsi="細明體"/>
          <w:lang w:eastAsia="fr-FR"/>
        </w:rPr>
        <w:t>若監臨主守，詐</w:t>
      </w:r>
      <w:r w:rsidRPr="00DB5CDC">
        <w:rPr>
          <w:rFonts w:ascii="細明體" w:eastAsia="細明體" w:hAnsi="細明體"/>
          <w:color w:val="3370FF"/>
          <w:sz w:val="36"/>
          <w:szCs w:val="36"/>
          <w:vertAlign w:val="subscript"/>
          <w:lang w:eastAsia="fr-FR"/>
        </w:rPr>
        <w:t>欺同監守之人。</w:t>
      </w:r>
      <w:r w:rsidRPr="00DB5CDC">
        <w:rPr>
          <w:rFonts w:ascii="細明體" w:eastAsia="細明體" w:hAnsi="細明體"/>
          <w:lang w:eastAsia="fr-FR"/>
        </w:rPr>
        <w:t>取所監守之物者，</w:t>
      </w:r>
      <w:r w:rsidRPr="00DB5CDC">
        <w:rPr>
          <w:rFonts w:ascii="細明體" w:eastAsia="細明體" w:hAnsi="細明體"/>
          <w:color w:val="3370FF"/>
          <w:sz w:val="36"/>
          <w:szCs w:val="36"/>
          <w:vertAlign w:val="subscript"/>
          <w:lang w:eastAsia="fr-FR"/>
        </w:rPr>
        <w:t>係官物。</w:t>
      </w:r>
      <w:r w:rsidRPr="00DB5CDC">
        <w:rPr>
          <w:rFonts w:ascii="細明體" w:eastAsia="細明體" w:hAnsi="細明體"/>
          <w:lang w:eastAsia="fr-FR"/>
        </w:rPr>
        <w:t>以監守自盜論，未得者，減二等。</w:t>
      </w:r>
    </w:p>
    <w:p w14:paraId="6C03A279" w14:textId="77777777" w:rsidR="00E03E90" w:rsidRPr="00DB5CDC" w:rsidRDefault="00E03E90" w:rsidP="008C171E">
      <w:pPr>
        <w:rPr>
          <w:rFonts w:ascii="細明體" w:eastAsia="細明體" w:hAnsi="細明體"/>
          <w:lang w:eastAsia="fr-FR"/>
        </w:rPr>
      </w:pPr>
      <w:r w:rsidRPr="00DB5CDC">
        <w:rPr>
          <w:rFonts w:ascii="細明體" w:eastAsia="細明體" w:hAnsi="細明體"/>
          <w:lang w:eastAsia="fr-FR"/>
        </w:rPr>
        <w:t>若冒認及誆賺局騙，拐帶人財物者，亦計贜，准竊盜論，</w:t>
      </w:r>
      <w:r w:rsidRPr="00DB5CDC">
        <w:rPr>
          <w:rFonts w:ascii="細明體" w:eastAsia="細明體" w:hAnsi="細明體"/>
          <w:color w:val="3370FF"/>
          <w:sz w:val="36"/>
          <w:szCs w:val="36"/>
          <w:vertAlign w:val="subscript"/>
          <w:lang w:eastAsia="fr-FR"/>
        </w:rPr>
        <w:t>係親屬，亦論服遞減。</w:t>
      </w:r>
      <w:r w:rsidRPr="00DB5CDC">
        <w:rPr>
          <w:rFonts w:ascii="細明體" w:eastAsia="細明體" w:hAnsi="細明體"/>
          <w:lang w:eastAsia="fr-FR"/>
        </w:rPr>
        <w:t>免刺。</w:t>
      </w:r>
    </w:p>
    <w:p w14:paraId="627CEA79" w14:textId="77777777" w:rsidR="008C171E" w:rsidRPr="0017754A" w:rsidRDefault="008C171E" w:rsidP="00E03E90">
      <w:pPr>
        <w:spacing w:before="100" w:beforeAutospacing="1" w:after="100" w:afterAutospacing="1"/>
        <w:rPr>
          <w:rFonts w:ascii="新細明體" w:eastAsia="新細明體" w:hAnsi="新細明體"/>
          <w:b/>
          <w:sz w:val="24"/>
          <w:szCs w:val="24"/>
          <w:lang w:eastAsia="fr-FR"/>
        </w:rPr>
      </w:pPr>
      <w:r w:rsidRPr="0017754A">
        <w:rPr>
          <w:rFonts w:ascii="新細明體" w:eastAsia="新細明體" w:hAnsi="新細明體"/>
          <w:b/>
          <w:sz w:val="24"/>
          <w:szCs w:val="24"/>
          <w:lang w:eastAsia="fr-FR"/>
        </w:rPr>
        <w:t>S’emparer de valeurs</w:t>
      </w:r>
      <w:r w:rsidR="0017754A">
        <w:rPr>
          <w:rFonts w:ascii="新細明體" w:eastAsia="新細明體" w:hAnsi="新細明體"/>
          <w:b/>
          <w:sz w:val="24"/>
          <w:szCs w:val="24"/>
          <w:lang w:eastAsia="fr-FR"/>
        </w:rPr>
        <w:t xml:space="preserve"> (richesses ?)</w:t>
      </w:r>
      <w:r w:rsidRPr="0017754A">
        <w:rPr>
          <w:rFonts w:ascii="新細明體" w:eastAsia="新細明體" w:hAnsi="新細明體"/>
          <w:b/>
          <w:sz w:val="24"/>
          <w:szCs w:val="24"/>
          <w:lang w:eastAsia="fr-FR"/>
        </w:rPr>
        <w:t xml:space="preserve"> publiques ou privées par la fraude ou la tromperie.</w:t>
      </w:r>
    </w:p>
    <w:p w14:paraId="6D3C2129" w14:textId="77777777" w:rsidR="008C171E" w:rsidRDefault="008C171E" w:rsidP="00E03E90">
      <w:pPr>
        <w:spacing w:before="100" w:beforeAutospacing="1" w:after="100" w:afterAutospacing="1"/>
        <w:rPr>
          <w:rFonts w:ascii="新細明體" w:eastAsia="新細明體" w:hAnsi="新細明體"/>
          <w:sz w:val="24"/>
          <w:szCs w:val="24"/>
          <w:lang w:eastAsia="fr-FR"/>
        </w:rPr>
      </w:pPr>
      <w:r>
        <w:rPr>
          <w:rFonts w:ascii="新細明體" w:eastAsia="新細明體" w:hAnsi="新細明體"/>
          <w:sz w:val="24"/>
          <w:szCs w:val="24"/>
          <w:lang w:eastAsia="fr-FR"/>
        </w:rPr>
        <w:t xml:space="preserve">Quiconque use de calcul, de fraude </w:t>
      </w:r>
      <w:r w:rsidRPr="00070FAB">
        <w:rPr>
          <w:rFonts w:ascii="新細明體" w:eastAsia="新細明體" w:hAnsi="新細明體"/>
          <w:color w:val="3366FF"/>
          <w:lang w:eastAsia="fr-FR"/>
        </w:rPr>
        <w:t>de faux</w:t>
      </w:r>
      <w:r>
        <w:rPr>
          <w:rFonts w:ascii="新細明體" w:eastAsia="新細明體" w:hAnsi="新細明體"/>
          <w:sz w:val="24"/>
          <w:szCs w:val="24"/>
          <w:lang w:eastAsia="fr-FR"/>
        </w:rPr>
        <w:t xml:space="preserve"> de tromperie pour</w:t>
      </w:r>
      <w:r w:rsidR="005A29AC">
        <w:rPr>
          <w:rFonts w:ascii="新細明體" w:eastAsia="新細明體" w:hAnsi="新細明體"/>
          <w:sz w:val="24"/>
          <w:szCs w:val="24"/>
          <w:lang w:eastAsia="fr-FR"/>
        </w:rPr>
        <w:t xml:space="preserve"> abuser</w:t>
      </w:r>
      <w:r>
        <w:rPr>
          <w:rFonts w:ascii="新細明體" w:eastAsia="新細明體" w:hAnsi="新細明體"/>
          <w:sz w:val="24"/>
          <w:szCs w:val="24"/>
          <w:lang w:eastAsia="fr-FR"/>
        </w:rPr>
        <w:t xml:space="preserve"> l’administration ou des personnes privées</w:t>
      </w:r>
      <w:r w:rsidR="005A29AC">
        <w:rPr>
          <w:rFonts w:ascii="新細明體" w:eastAsia="新細明體" w:hAnsi="新細明體"/>
          <w:sz w:val="24"/>
          <w:szCs w:val="24"/>
          <w:lang w:eastAsia="fr-FR"/>
        </w:rPr>
        <w:t xml:space="preserve">, dans ces deux cas calculer le montant des biens mal acquis par la tromperie et condamner par assimilation avec le vol, avec exemption de la marque au visage. </w:t>
      </w:r>
      <w:r w:rsidR="00070FAB">
        <w:rPr>
          <w:rFonts w:ascii="新細明體" w:eastAsia="新細明體" w:hAnsi="新細明體"/>
          <w:sz w:val="24"/>
          <w:szCs w:val="24"/>
          <w:lang w:eastAsia="fr-FR"/>
        </w:rPr>
        <w:t xml:space="preserve">S’agissant de </w:t>
      </w:r>
      <w:r w:rsidR="005A29AC">
        <w:rPr>
          <w:rFonts w:ascii="新細明體" w:eastAsia="新細明體" w:hAnsi="新細明體"/>
          <w:sz w:val="24"/>
          <w:szCs w:val="24"/>
          <w:lang w:eastAsia="fr-FR"/>
        </w:rPr>
        <w:t xml:space="preserve">parents </w:t>
      </w:r>
      <w:r w:rsidR="00070FAB">
        <w:rPr>
          <w:rFonts w:ascii="新細明體" w:eastAsia="新細明體" w:hAnsi="新細明體"/>
          <w:sz w:val="24"/>
          <w:szCs w:val="24"/>
          <w:lang w:eastAsia="fr-FR"/>
        </w:rPr>
        <w:t>qui ne se doivent pas même le deuil d’un an</w:t>
      </w:r>
      <w:r w:rsidR="00070FAB">
        <w:rPr>
          <w:rStyle w:val="Marquenotebasdepage"/>
          <w:rFonts w:ascii="新細明體" w:eastAsia="新細明體" w:hAnsi="新細明體"/>
          <w:sz w:val="24"/>
          <w:szCs w:val="24"/>
          <w:lang w:eastAsia="fr-FR"/>
        </w:rPr>
        <w:footnoteReference w:id="1"/>
      </w:r>
      <w:r w:rsidR="00070FAB">
        <w:rPr>
          <w:rFonts w:ascii="新細明體" w:eastAsia="新細明體" w:hAnsi="新細明體"/>
          <w:sz w:val="24"/>
          <w:szCs w:val="24"/>
          <w:lang w:eastAsia="fr-FR"/>
        </w:rPr>
        <w:t xml:space="preserve"> </w:t>
      </w:r>
      <w:r w:rsidR="00070FAB" w:rsidRPr="00070FAB">
        <w:rPr>
          <w:rFonts w:ascii="新細明體" w:eastAsia="新細明體" w:hAnsi="新細明體"/>
          <w:color w:val="3366FF"/>
          <w:lang w:eastAsia="fr-FR"/>
        </w:rPr>
        <w:t>sans considérer s’ils sont supérieurs ou inférieurs par l’âge ou la génération, ni s’ils résident ensemble ou séparément</w:t>
      </w:r>
      <w:r w:rsidR="00070FAB">
        <w:rPr>
          <w:rFonts w:ascii="新細明體" w:eastAsia="新細明體" w:hAnsi="新細明體"/>
          <w:sz w:val="24"/>
          <w:szCs w:val="24"/>
          <w:lang w:eastAsia="fr-FR"/>
        </w:rPr>
        <w:t>, qui se trompent ou s’escroquent mutuellement, conformément à l’article sur les personnes apparentées qui se volent mutuellement, la sentence est déterminée par les cumuls de réduction de peine.</w:t>
      </w:r>
    </w:p>
    <w:p w14:paraId="36D10FBE" w14:textId="77777777" w:rsidR="00DB5CDC" w:rsidRDefault="00DB5CDC" w:rsidP="00E03E90">
      <w:pPr>
        <w:spacing w:before="100" w:beforeAutospacing="1" w:after="100" w:afterAutospacing="1"/>
        <w:rPr>
          <w:rFonts w:ascii="新細明體" w:eastAsia="新細明體" w:hAnsi="新細明體"/>
          <w:sz w:val="24"/>
          <w:szCs w:val="24"/>
          <w:lang w:eastAsia="fr-FR"/>
        </w:rPr>
      </w:pPr>
      <w:r>
        <w:rPr>
          <w:rFonts w:ascii="新細明體" w:eastAsia="新細明體" w:hAnsi="新細明體"/>
          <w:sz w:val="24"/>
          <w:szCs w:val="24"/>
          <w:lang w:eastAsia="fr-FR"/>
        </w:rPr>
        <w:tab/>
        <w:t>Si c’est un superviseur ou un préposé</w:t>
      </w:r>
      <w:r>
        <w:rPr>
          <w:rStyle w:val="Marquenotebasdepage"/>
          <w:rFonts w:ascii="新細明體" w:eastAsia="新細明體" w:hAnsi="新細明體"/>
          <w:sz w:val="24"/>
          <w:szCs w:val="24"/>
          <w:lang w:eastAsia="fr-FR"/>
        </w:rPr>
        <w:footnoteReference w:id="2"/>
      </w:r>
      <w:r>
        <w:rPr>
          <w:rFonts w:ascii="新細明體" w:eastAsia="新細明體" w:hAnsi="新細明體"/>
          <w:sz w:val="24"/>
          <w:szCs w:val="24"/>
          <w:lang w:eastAsia="fr-FR"/>
        </w:rPr>
        <w:t xml:space="preserve"> qui frauduleusement trompe ses collègues pour accaparer un bien qu’il est chargé de surveiller et conserver c’est-à-dire un bien de l’administration, le condamner selon l’article « Superviseurs et préposés se permettant de voler », s’ils n’en ont pas obtenu de gain, abaisser la peine de deux degrés.</w:t>
      </w:r>
    </w:p>
    <w:p w14:paraId="0D55AA98" w14:textId="33F12B19" w:rsidR="0017754A" w:rsidRDefault="0017754A" w:rsidP="00E03E90">
      <w:pPr>
        <w:spacing w:before="100" w:beforeAutospacing="1" w:after="100" w:afterAutospacing="1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/>
          <w:sz w:val="24"/>
          <w:szCs w:val="24"/>
          <w:lang w:eastAsia="fr-FR"/>
        </w:rPr>
        <w:tab/>
      </w:r>
      <w:r w:rsidR="00AB424D">
        <w:rPr>
          <w:rFonts w:ascii="新細明體" w:eastAsia="新細明體" w:hAnsi="新細明體"/>
          <w:sz w:val="24"/>
          <w:szCs w:val="24"/>
          <w:lang w:eastAsia="fr-FR"/>
        </w:rPr>
        <w:t xml:space="preserve">Si c’est par une </w:t>
      </w:r>
      <w:r w:rsidR="003A45B8">
        <w:rPr>
          <w:rFonts w:ascii="新細明體" w:eastAsia="新細明體" w:hAnsi="新細明體"/>
          <w:sz w:val="24"/>
          <w:szCs w:val="24"/>
          <w:lang w:eastAsia="fr-FR"/>
        </w:rPr>
        <w:t>usurpation d’identité</w:t>
      </w:r>
      <w:r>
        <w:rPr>
          <w:rStyle w:val="Marquenotebasdepage"/>
          <w:rFonts w:ascii="新細明體" w:eastAsia="新細明體" w:hAnsi="新細明體"/>
          <w:sz w:val="24"/>
          <w:szCs w:val="24"/>
          <w:lang w:eastAsia="fr-FR"/>
        </w:rPr>
        <w:footnoteReference w:id="3"/>
      </w:r>
      <w:r w:rsidR="003A45B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AB424D">
        <w:rPr>
          <w:rFonts w:ascii="新細明體" w:eastAsia="新細明體" w:hAnsi="新細明體"/>
          <w:sz w:val="24"/>
          <w:szCs w:val="24"/>
          <w:lang w:eastAsia="zh-TW"/>
        </w:rPr>
        <w:t>qu’a eu lieu la fraude ou l’escroquerie, en se faisant apporter le bien d’autrui, il faut encore calculer le montant des biens mal acquis et condamner par assimilation avec le vol furtif</w:t>
      </w:r>
      <w:r w:rsidR="00AB424D">
        <w:rPr>
          <w:rStyle w:val="Marquenotebasdepage"/>
          <w:rFonts w:ascii="新細明體" w:eastAsia="新細明體" w:hAnsi="新細明體"/>
          <w:sz w:val="24"/>
          <w:szCs w:val="24"/>
          <w:lang w:eastAsia="zh-TW"/>
        </w:rPr>
        <w:footnoteReference w:id="4"/>
      </w:r>
      <w:r w:rsidR="00AB424D">
        <w:rPr>
          <w:rFonts w:ascii="新細明體" w:eastAsia="新細明體" w:hAnsi="新細明體"/>
          <w:sz w:val="24"/>
          <w:szCs w:val="24"/>
          <w:lang w:eastAsia="zh-TW"/>
        </w:rPr>
        <w:t xml:space="preserve">, </w:t>
      </w:r>
      <w:bookmarkStart w:id="0" w:name="_GoBack"/>
      <w:bookmarkEnd w:id="0"/>
      <w:r w:rsidR="00AB424D" w:rsidRPr="00AB424D">
        <w:rPr>
          <w:rFonts w:ascii="新細明體" w:eastAsia="新細明體" w:hAnsi="新細明體"/>
          <w:color w:val="3366FF"/>
          <w:lang w:eastAsia="zh-TW"/>
        </w:rPr>
        <w:t>si c’est entre parents, il faut encore calculer les cumuls de réduction de peine selon le degré de deuil,</w:t>
      </w:r>
      <w:r w:rsidR="00AB424D">
        <w:rPr>
          <w:rFonts w:ascii="新細明體" w:eastAsia="新細明體" w:hAnsi="新細明體"/>
          <w:sz w:val="24"/>
          <w:szCs w:val="24"/>
          <w:lang w:eastAsia="zh-TW"/>
        </w:rPr>
        <w:t xml:space="preserve"> en exemptant le condamné de la marque au visage.</w:t>
      </w:r>
    </w:p>
    <w:p w14:paraId="2A7E3009" w14:textId="77777777" w:rsidR="008C171E" w:rsidRPr="00E03E90" w:rsidRDefault="008C171E" w:rsidP="00E03E90">
      <w:pPr>
        <w:spacing w:before="100" w:beforeAutospacing="1" w:after="100" w:afterAutospacing="1"/>
        <w:rPr>
          <w:rFonts w:ascii="新細明體" w:eastAsia="新細明體" w:hAnsi="新細明體"/>
          <w:sz w:val="24"/>
          <w:szCs w:val="24"/>
          <w:lang w:eastAsia="fr-FR"/>
        </w:rPr>
      </w:pPr>
    </w:p>
    <w:p w14:paraId="46058031" w14:textId="77777777" w:rsidR="00E03E90" w:rsidRPr="00E03E90" w:rsidRDefault="008C171E" w:rsidP="00E03E90">
      <w:pPr>
        <w:spacing w:after="0"/>
        <w:ind w:left="1530"/>
        <w:rPr>
          <w:rFonts w:ascii="新細明體" w:eastAsia="新細明體" w:hAnsi="新細明體"/>
          <w:sz w:val="24"/>
          <w:szCs w:val="24"/>
          <w:lang w:eastAsia="fr-FR"/>
        </w:rPr>
      </w:pPr>
      <w:hyperlink r:id="rId7" w:history="1"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>條例/</w:t>
        </w:r>
        <w:proofErr w:type="spellStart"/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>tiaoli</w:t>
        </w:r>
        <w:proofErr w:type="spellEnd"/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 xml:space="preserve"> 1</w:t>
        </w:r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p w14:paraId="5C13B71C" w14:textId="77777777" w:rsidR="00E03E90" w:rsidRPr="00E03E90" w:rsidRDefault="00E03E90" w:rsidP="00E03E90">
      <w:pPr>
        <w:spacing w:after="0"/>
        <w:rPr>
          <w:rFonts w:ascii="新細明體" w:eastAsia="新細明體" w:hAnsi="新細明體"/>
          <w:sz w:val="24"/>
          <w:szCs w:val="24"/>
          <w:lang w:eastAsia="fr-FR"/>
        </w:rPr>
      </w:pPr>
      <w:r w:rsidRPr="00E03E90">
        <w:rPr>
          <w:rFonts w:ascii="新細明體" w:eastAsia="新細明體" w:hAnsi="新細明體" w:cs="儷宋 Pro" w:hint="eastAsia"/>
          <w:sz w:val="24"/>
          <w:szCs w:val="24"/>
          <w:lang w:eastAsia="fr-FR"/>
        </w:rPr>
        <w:t>凡誆騙聽選官吏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及舉人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、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監生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、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生員人等財物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指稱買官賣缺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及買求中式等項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俱問罪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不分首從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於該衙門門首枷號三個月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發煙瘴地面充軍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其央浼營幹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致被誆騙者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免其枷號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亦照前發遣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</w:p>
    <w:p w14:paraId="7B6488CE" w14:textId="77777777" w:rsidR="00E03E90" w:rsidRPr="00E03E90" w:rsidRDefault="008C171E" w:rsidP="00E03E90">
      <w:pPr>
        <w:spacing w:after="0"/>
        <w:ind w:left="1530"/>
        <w:rPr>
          <w:rFonts w:ascii="新細明體" w:eastAsia="新細明體" w:hAnsi="新細明體"/>
          <w:sz w:val="24"/>
          <w:szCs w:val="24"/>
          <w:lang w:eastAsia="fr-FR"/>
        </w:rPr>
      </w:pPr>
      <w:hyperlink r:id="rId8" w:history="1"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>條例/</w:t>
        </w:r>
        <w:proofErr w:type="spellStart"/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>tiaoli</w:t>
        </w:r>
        <w:proofErr w:type="spellEnd"/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 xml:space="preserve"> 2 </w:t>
        </w:r>
      </w:hyperlink>
    </w:p>
    <w:p w14:paraId="5AE14CA8" w14:textId="77777777" w:rsidR="00E03E90" w:rsidRPr="00E03E90" w:rsidRDefault="00E03E90" w:rsidP="00E03E90">
      <w:pPr>
        <w:spacing w:after="0"/>
        <w:rPr>
          <w:rFonts w:ascii="新細明體" w:eastAsia="新細明體" w:hAnsi="新細明體"/>
          <w:sz w:val="24"/>
          <w:szCs w:val="24"/>
          <w:lang w:eastAsia="fr-FR"/>
        </w:rPr>
      </w:pPr>
      <w:r w:rsidRPr="00E03E90">
        <w:rPr>
          <w:rFonts w:ascii="新細明體" w:eastAsia="新細明體" w:hAnsi="新細明體"/>
          <w:sz w:val="24"/>
          <w:szCs w:val="24"/>
          <w:lang w:eastAsia="fr-FR"/>
        </w:rPr>
        <w:t>凡指稱內外大小官員名頭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並各衙門打點使用名色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誆騙財物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計贜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犯該徒罪以上者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俱不分首從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發邊衛充軍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情重者仍枷號兩個月發遣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  <w:r w:rsidRPr="00E03E90">
        <w:rPr>
          <w:rFonts w:ascii="新細明體" w:eastAsia="新細明體" w:hAnsi="新細明體" w:cs="儷宋 Pro" w:hint="eastAsia"/>
          <w:color w:val="3370FF"/>
          <w:sz w:val="36"/>
          <w:szCs w:val="36"/>
          <w:vertAlign w:val="subscript"/>
          <w:lang w:eastAsia="fr-FR"/>
        </w:rPr>
        <w:t>如親屬</w:t>
      </w:r>
      <w:r w:rsidRPr="00E03E90">
        <w:rPr>
          <w:rFonts w:ascii="新細明體" w:eastAsia="新細明體" w:hAnsi="新細明體"/>
          <w:color w:val="3370FF"/>
          <w:sz w:val="36"/>
          <w:szCs w:val="36"/>
          <w:vertAlign w:val="subscript"/>
          <w:lang w:eastAsia="fr-FR"/>
        </w:rPr>
        <w:t>指官誆騙</w:t>
      </w:r>
      <w:r w:rsidRPr="00E03E90">
        <w:rPr>
          <w:rFonts w:ascii="新細明體" w:eastAsia="新細明體" w:hAnsi="新細明體" w:cs="Microsoft Tai Le"/>
          <w:color w:val="3370FF"/>
          <w:sz w:val="36"/>
          <w:szCs w:val="36"/>
          <w:vertAlign w:val="subscript"/>
          <w:lang w:eastAsia="fr-FR"/>
        </w:rPr>
        <w:t>，</w:t>
      </w:r>
      <w:r w:rsidRPr="00E03E90">
        <w:rPr>
          <w:rFonts w:ascii="新細明體" w:eastAsia="新細明體" w:hAnsi="新細明體"/>
          <w:color w:val="3370FF"/>
          <w:sz w:val="36"/>
          <w:szCs w:val="36"/>
          <w:vertAlign w:val="subscript"/>
          <w:lang w:eastAsia="fr-FR"/>
        </w:rPr>
        <w:t>止依期親以下</w:t>
      </w:r>
      <w:r w:rsidRPr="00E03E90">
        <w:rPr>
          <w:rFonts w:ascii="新細明體" w:eastAsia="新細明體" w:hAnsi="新細明體" w:cs="儷宋 Pro" w:hint="eastAsia"/>
          <w:color w:val="3370FF"/>
          <w:sz w:val="36"/>
          <w:szCs w:val="36"/>
          <w:vertAlign w:val="subscript"/>
          <w:lang w:eastAsia="fr-FR"/>
        </w:rPr>
        <w:t>詐欺律</w:t>
      </w:r>
      <w:r w:rsidRPr="00E03E90">
        <w:rPr>
          <w:rFonts w:ascii="新細明體" w:eastAsia="新細明體" w:hAnsi="新細明體" w:cs="Microsoft Tai Le"/>
          <w:color w:val="3370FF"/>
          <w:sz w:val="36"/>
          <w:szCs w:val="36"/>
          <w:vertAlign w:val="subscript"/>
          <w:lang w:eastAsia="fr-FR"/>
        </w:rPr>
        <w:t>，</w:t>
      </w:r>
      <w:r w:rsidRPr="00E03E90">
        <w:rPr>
          <w:rFonts w:ascii="新細明體" w:eastAsia="新細明體" w:hAnsi="新細明體"/>
          <w:color w:val="3370FF"/>
          <w:sz w:val="36"/>
          <w:szCs w:val="36"/>
          <w:vertAlign w:val="subscript"/>
          <w:lang w:eastAsia="fr-FR"/>
        </w:rPr>
        <w:t>不可引例</w:t>
      </w:r>
      <w:r w:rsidRPr="00E03E90">
        <w:rPr>
          <w:rFonts w:ascii="新細明體" w:eastAsia="新細明體" w:hAnsi="新細明體" w:cs="Microsoft Tai Le"/>
          <w:color w:val="3370FF"/>
          <w:sz w:val="36"/>
          <w:szCs w:val="36"/>
          <w:vertAlign w:val="subscript"/>
          <w:lang w:eastAsia="fr-FR"/>
        </w:rPr>
        <w:t>。</w:t>
      </w:r>
    </w:p>
    <w:p w14:paraId="1046B2C2" w14:textId="77777777" w:rsidR="00E03E90" w:rsidRPr="00E03E90" w:rsidRDefault="008C171E" w:rsidP="00E03E90">
      <w:pPr>
        <w:spacing w:after="0"/>
        <w:ind w:left="1530"/>
        <w:rPr>
          <w:rFonts w:ascii="新細明體" w:eastAsia="新細明體" w:hAnsi="新細明體"/>
          <w:sz w:val="24"/>
          <w:szCs w:val="24"/>
          <w:lang w:eastAsia="fr-FR"/>
        </w:rPr>
      </w:pPr>
      <w:hyperlink r:id="rId9" w:history="1"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>條例/</w:t>
        </w:r>
        <w:proofErr w:type="spellStart"/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>tiaoli</w:t>
        </w:r>
        <w:proofErr w:type="spellEnd"/>
        <w:r w:rsidR="00E03E90" w:rsidRPr="00E03E90">
          <w:rPr>
            <w:rFonts w:ascii="新細明體" w:eastAsia="新細明體" w:hAnsi="新細明體"/>
            <w:color w:val="0000FF"/>
            <w:sz w:val="24"/>
            <w:szCs w:val="24"/>
            <w:u w:val="single"/>
            <w:lang w:eastAsia="fr-FR"/>
          </w:rPr>
          <w:t xml:space="preserve"> 3 </w:t>
        </w:r>
      </w:hyperlink>
    </w:p>
    <w:p w14:paraId="03447B45" w14:textId="77777777" w:rsidR="00E03E90" w:rsidRPr="00E03E90" w:rsidRDefault="00E03E90" w:rsidP="00E03E90">
      <w:pPr>
        <w:spacing w:after="0"/>
        <w:rPr>
          <w:rFonts w:ascii="新細明體" w:eastAsia="新細明體" w:hAnsi="新細明體"/>
          <w:sz w:val="24"/>
          <w:szCs w:val="24"/>
          <w:lang w:eastAsia="fr-FR"/>
        </w:rPr>
      </w:pPr>
      <w:r w:rsidRPr="00E03E90">
        <w:rPr>
          <w:rFonts w:ascii="新細明體" w:eastAsia="新細明體" w:hAnsi="新細明體" w:cs="儷宋 Pro" w:hint="eastAsia"/>
          <w:sz w:val="24"/>
          <w:szCs w:val="24"/>
          <w:lang w:eastAsia="fr-FR"/>
        </w:rPr>
        <w:lastRenderedPageBreak/>
        <w:t>學臣考試有積慣隨棚代筆之鎗手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察出審實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枷號三個月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發煙瘴地面充軍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其雇倩鎗手之人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及包攬之人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並與鎗手同罪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知情保結之廩生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杖一百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窩留之家不知情者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照不應重律治罪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倘有別情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從重科斷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有贜計贜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，</w:t>
      </w:r>
      <w:r w:rsidRPr="00E03E90">
        <w:rPr>
          <w:rFonts w:ascii="新細明體" w:eastAsia="新細明體" w:hAnsi="新細明體"/>
          <w:sz w:val="24"/>
          <w:szCs w:val="24"/>
          <w:lang w:eastAsia="fr-FR"/>
        </w:rPr>
        <w:t>以枉法從重論</w:t>
      </w:r>
      <w:r w:rsidRPr="00E03E90">
        <w:rPr>
          <w:rFonts w:ascii="新細明體" w:eastAsia="新細明體" w:hAnsi="新細明體" w:cs="Microsoft Tai Le"/>
          <w:sz w:val="24"/>
          <w:szCs w:val="24"/>
          <w:lang w:eastAsia="fr-FR"/>
        </w:rPr>
        <w:t>。</w:t>
      </w:r>
    </w:p>
    <w:p w14:paraId="7539C1C8" w14:textId="77777777" w:rsidR="00700937" w:rsidRDefault="00700937"/>
    <w:sectPr w:rsidR="00700937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A0CD9" w14:textId="77777777" w:rsidR="00E544C0" w:rsidRDefault="00E544C0" w:rsidP="00070FAB">
      <w:pPr>
        <w:spacing w:after="0"/>
      </w:pPr>
      <w:r>
        <w:separator/>
      </w:r>
    </w:p>
  </w:endnote>
  <w:endnote w:type="continuationSeparator" w:id="0">
    <w:p w14:paraId="2C331789" w14:textId="77777777" w:rsidR="00E544C0" w:rsidRDefault="00E544C0" w:rsidP="00070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C0CF2" w14:textId="77777777" w:rsidR="00E544C0" w:rsidRDefault="00E544C0" w:rsidP="00070FAB">
      <w:pPr>
        <w:spacing w:after="0"/>
      </w:pPr>
      <w:r>
        <w:separator/>
      </w:r>
    </w:p>
  </w:footnote>
  <w:footnote w:type="continuationSeparator" w:id="0">
    <w:p w14:paraId="191341CA" w14:textId="77777777" w:rsidR="00E544C0" w:rsidRDefault="00E544C0" w:rsidP="00070FAB">
      <w:pPr>
        <w:spacing w:after="0"/>
      </w:pPr>
      <w:r>
        <w:continuationSeparator/>
      </w:r>
    </w:p>
  </w:footnote>
  <w:footnote w:id="1">
    <w:p w14:paraId="6BCC0E41" w14:textId="77777777" w:rsidR="00E544C0" w:rsidRPr="00E544C0" w:rsidRDefault="00E544C0" w:rsidP="003A45B8">
      <w:pPr>
        <w:pStyle w:val="Notedebasdepage"/>
        <w:rPr>
          <w:rFonts w:ascii="Times" w:hAnsi="Times"/>
          <w:sz w:val="20"/>
          <w:szCs w:val="20"/>
        </w:rPr>
      </w:pPr>
      <w:r w:rsidRPr="00E544C0">
        <w:rPr>
          <w:rStyle w:val="Marquenotebasdepage"/>
          <w:rFonts w:ascii="Times" w:hAnsi="Times"/>
          <w:sz w:val="20"/>
          <w:szCs w:val="20"/>
        </w:rPr>
        <w:footnoteRef/>
      </w:r>
      <w:r w:rsidRPr="00E544C0">
        <w:rPr>
          <w:rFonts w:ascii="Times" w:hAnsi="Times"/>
          <w:sz w:val="20"/>
          <w:szCs w:val="20"/>
        </w:rPr>
        <w:t xml:space="preserve"> </w:t>
      </w:r>
      <w:hyperlink r:id="rId1" w:history="1">
        <w:proofErr w:type="spellStart"/>
        <w:r w:rsidRPr="00E544C0">
          <w:rPr>
            <w:rStyle w:val="Lienhypertexte"/>
            <w:rFonts w:ascii="Times" w:hAnsi="Times"/>
            <w:sz w:val="20"/>
            <w:szCs w:val="20"/>
          </w:rPr>
          <w:t>jīqīn</w:t>
        </w:r>
        <w:proofErr w:type="spellEnd"/>
      </w:hyperlink>
      <w:r w:rsidRPr="00E544C0">
        <w:rPr>
          <w:rFonts w:ascii="Times" w:hAnsi="Times"/>
          <w:sz w:val="20"/>
          <w:szCs w:val="20"/>
        </w:rPr>
        <w:t xml:space="preserve"> / </w:t>
      </w:r>
      <w:proofErr w:type="spellStart"/>
      <w:r w:rsidRPr="00E544C0">
        <w:rPr>
          <w:rFonts w:ascii="Times" w:hAnsi="Times"/>
          <w:sz w:val="20"/>
          <w:szCs w:val="20"/>
        </w:rPr>
        <w:t>期親</w:t>
      </w:r>
      <w:proofErr w:type="spellEnd"/>
      <w:r w:rsidRPr="00E544C0">
        <w:rPr>
          <w:rFonts w:ascii="Times" w:hAnsi="Times"/>
          <w:sz w:val="20"/>
          <w:szCs w:val="20"/>
        </w:rPr>
        <w:t>[</w:t>
      </w:r>
      <w:proofErr w:type="spellStart"/>
      <w:r w:rsidRPr="00E544C0">
        <w:rPr>
          <w:rFonts w:ascii="Times" w:hAnsi="Times"/>
          <w:sz w:val="20"/>
          <w:szCs w:val="20"/>
        </w:rPr>
        <w:t>fr</w:t>
      </w:r>
      <w:proofErr w:type="spellEnd"/>
      <w:r w:rsidRPr="00E544C0">
        <w:rPr>
          <w:rFonts w:ascii="Times" w:hAnsi="Times"/>
          <w:sz w:val="20"/>
          <w:szCs w:val="20"/>
        </w:rPr>
        <w:t>] parents auquel est dû le deuil d’un an</w:t>
      </w:r>
    </w:p>
  </w:footnote>
  <w:footnote w:id="2">
    <w:p w14:paraId="09FEF93C" w14:textId="5FDBC5A8" w:rsidR="00E544C0" w:rsidRPr="00E544C0" w:rsidRDefault="00E544C0" w:rsidP="003A45B8">
      <w:pPr>
        <w:pStyle w:val="Notedebasdepage"/>
        <w:rPr>
          <w:rFonts w:ascii="Times" w:hAnsi="Times"/>
          <w:sz w:val="20"/>
          <w:szCs w:val="20"/>
          <w:lang w:eastAsia="zh-TW"/>
        </w:rPr>
      </w:pPr>
      <w:r w:rsidRPr="00E544C0">
        <w:rPr>
          <w:rStyle w:val="Marquenotebasdepage"/>
          <w:rFonts w:ascii="Times" w:hAnsi="Times"/>
          <w:sz w:val="20"/>
          <w:szCs w:val="20"/>
        </w:rPr>
        <w:footnoteRef/>
      </w:r>
      <w:r w:rsidRPr="00E544C0">
        <w:rPr>
          <w:rFonts w:ascii="Times" w:hAnsi="Times"/>
          <w:sz w:val="20"/>
          <w:szCs w:val="20"/>
        </w:rPr>
        <w:t xml:space="preserve"> </w:t>
      </w:r>
      <w:hyperlink r:id="rId2" w:history="1">
        <w:proofErr w:type="spellStart"/>
        <w:r w:rsidRPr="00E544C0">
          <w:rPr>
            <w:rStyle w:val="Lienhypertexte"/>
            <w:rFonts w:ascii="Times" w:hAnsi="Times"/>
            <w:sz w:val="20"/>
            <w:szCs w:val="20"/>
          </w:rPr>
          <w:t>jiānlín</w:t>
        </w:r>
        <w:proofErr w:type="spellEnd"/>
        <w:r w:rsidRPr="00E544C0">
          <w:rPr>
            <w:rStyle w:val="Lienhypertexte"/>
            <w:rFonts w:ascii="Times" w:hAnsi="Times"/>
            <w:sz w:val="20"/>
            <w:szCs w:val="20"/>
          </w:rPr>
          <w:t xml:space="preserve"> </w:t>
        </w:r>
        <w:proofErr w:type="spellStart"/>
        <w:r w:rsidRPr="00E544C0">
          <w:rPr>
            <w:rStyle w:val="Lienhypertexte"/>
            <w:rFonts w:ascii="Times" w:hAnsi="Times"/>
            <w:sz w:val="20"/>
            <w:szCs w:val="20"/>
          </w:rPr>
          <w:t>zhǔshǒu</w:t>
        </w:r>
        <w:proofErr w:type="spellEnd"/>
        <w:r w:rsidRPr="00E544C0">
          <w:rPr>
            <w:rStyle w:val="Lienhypertexte"/>
            <w:rFonts w:ascii="Times" w:hAnsi="Times"/>
            <w:sz w:val="20"/>
            <w:szCs w:val="20"/>
          </w:rPr>
          <w:t xml:space="preserve"> </w:t>
        </w:r>
      </w:hyperlink>
      <w:r w:rsidRPr="00E544C0">
        <w:rPr>
          <w:rFonts w:ascii="Times" w:hAnsi="Times"/>
          <w:sz w:val="20"/>
          <w:szCs w:val="20"/>
        </w:rPr>
        <w:t xml:space="preserve">/ </w:t>
      </w:r>
      <w:proofErr w:type="spellStart"/>
      <w:r w:rsidRPr="00E544C0">
        <w:rPr>
          <w:rFonts w:ascii="Times" w:hAnsi="Times"/>
          <w:sz w:val="20"/>
          <w:szCs w:val="20"/>
        </w:rPr>
        <w:t>監臨主守</w:t>
      </w:r>
      <w:proofErr w:type="spellEnd"/>
      <w:r w:rsidRPr="00E544C0">
        <w:rPr>
          <w:rFonts w:ascii="Times" w:hAnsi="Times"/>
          <w:sz w:val="20"/>
          <w:szCs w:val="20"/>
        </w:rPr>
        <w:t xml:space="preserve">  [</w:t>
      </w:r>
      <w:proofErr w:type="spellStart"/>
      <w:r w:rsidRPr="00E544C0">
        <w:rPr>
          <w:rFonts w:ascii="Times" w:hAnsi="Times"/>
          <w:sz w:val="20"/>
          <w:szCs w:val="20"/>
        </w:rPr>
        <w:t>fr</w:t>
      </w:r>
      <w:proofErr w:type="spellEnd"/>
      <w:r w:rsidRPr="00E544C0">
        <w:rPr>
          <w:rFonts w:ascii="Times" w:hAnsi="Times"/>
          <w:sz w:val="20"/>
          <w:szCs w:val="20"/>
        </w:rPr>
        <w:t xml:space="preserve">] Superviseurs et préposés </w:t>
      </w:r>
    </w:p>
  </w:footnote>
  <w:footnote w:id="3">
    <w:p w14:paraId="15AC2035" w14:textId="171F9C68" w:rsidR="00E544C0" w:rsidRPr="00E544C0" w:rsidRDefault="00E544C0" w:rsidP="003A45B8">
      <w:pPr>
        <w:pStyle w:val="Notedebasdepage"/>
        <w:rPr>
          <w:rFonts w:ascii="Times" w:hAnsi="Times"/>
          <w:sz w:val="20"/>
          <w:szCs w:val="20"/>
          <w:lang w:eastAsia="zh-TW"/>
        </w:rPr>
      </w:pPr>
      <w:r w:rsidRPr="00E544C0">
        <w:rPr>
          <w:rStyle w:val="Marquenotebasdepage"/>
          <w:rFonts w:ascii="Times" w:hAnsi="Times"/>
          <w:sz w:val="20"/>
          <w:szCs w:val="20"/>
        </w:rPr>
        <w:footnoteRef/>
      </w:r>
      <w:r w:rsidRPr="00E544C0">
        <w:rPr>
          <w:rFonts w:ascii="Times" w:hAnsi="Times"/>
          <w:sz w:val="20"/>
          <w:szCs w:val="20"/>
        </w:rPr>
        <w:t xml:space="preserve"> </w:t>
      </w:r>
      <w:proofErr w:type="spellStart"/>
      <w:r w:rsidRPr="00E544C0">
        <w:rPr>
          <w:rFonts w:ascii="Times" w:hAnsi="Times"/>
          <w:sz w:val="20"/>
          <w:szCs w:val="20"/>
          <w:lang w:eastAsia="fr-FR"/>
        </w:rPr>
        <w:t>mào</w:t>
      </w:r>
      <w:proofErr w:type="spellEnd"/>
      <w:r w:rsidRPr="00E544C0">
        <w:rPr>
          <w:rFonts w:ascii="Times" w:hAnsi="Times"/>
          <w:sz w:val="20"/>
          <w:szCs w:val="20"/>
          <w:lang w:eastAsia="fr-FR"/>
        </w:rPr>
        <w:t xml:space="preserve"> </w:t>
      </w:r>
      <w:proofErr w:type="spellStart"/>
      <w:r w:rsidRPr="00E544C0">
        <w:rPr>
          <w:rFonts w:ascii="Times" w:hAnsi="Times"/>
          <w:sz w:val="20"/>
          <w:szCs w:val="20"/>
          <w:lang w:eastAsia="fr-FR"/>
        </w:rPr>
        <w:t>rèn</w:t>
      </w:r>
      <w:proofErr w:type="spellEnd"/>
      <w:r w:rsidRPr="00E544C0">
        <w:rPr>
          <w:rFonts w:ascii="Times" w:hAnsi="Times"/>
          <w:sz w:val="20"/>
          <w:szCs w:val="20"/>
        </w:rPr>
        <w:t xml:space="preserve"> </w:t>
      </w:r>
      <w:r w:rsidRPr="00E544C0">
        <w:rPr>
          <w:rFonts w:ascii="Times" w:hAnsi="Times"/>
          <w:b/>
          <w:bCs/>
          <w:sz w:val="20"/>
          <w:szCs w:val="20"/>
        </w:rPr>
        <w:t>冒認</w:t>
      </w:r>
      <w:r w:rsidRPr="00E544C0">
        <w:rPr>
          <w:rFonts w:ascii="Times" w:hAnsi="Times"/>
          <w:b/>
          <w:bCs/>
          <w:sz w:val="20"/>
          <w:szCs w:val="20"/>
          <w:lang w:eastAsia="zh-TW"/>
        </w:rPr>
        <w:t xml:space="preserve"> </w:t>
      </w:r>
      <w:r w:rsidRPr="00E544C0">
        <w:rPr>
          <w:rFonts w:ascii="Times" w:hAnsi="Times"/>
          <w:b/>
          <w:bCs/>
          <w:sz w:val="20"/>
          <w:szCs w:val="20"/>
          <w:lang w:eastAsia="zh-TW"/>
        </w:rPr>
        <w:t>＝</w:t>
      </w:r>
      <w:r w:rsidRPr="00E544C0">
        <w:rPr>
          <w:rStyle w:val="gcsy"/>
          <w:rFonts w:ascii="Times" w:eastAsia="儷宋 Pro" w:hAnsi="Times" w:cs="儷宋 Pro"/>
          <w:sz w:val="20"/>
          <w:szCs w:val="20"/>
        </w:rPr>
        <w:t>冒充認取</w:t>
      </w:r>
      <w:r w:rsidRPr="00E544C0">
        <w:rPr>
          <w:rStyle w:val="gcsy"/>
          <w:rFonts w:ascii="Microsoft Tai Le" w:eastAsia="Times New Roman" w:hAnsi="Microsoft Tai Le" w:cs="Microsoft Tai Le"/>
          <w:sz w:val="20"/>
          <w:szCs w:val="20"/>
        </w:rPr>
        <w:t>。</w:t>
      </w:r>
      <w:proofErr w:type="gramStart"/>
      <w:r w:rsidRPr="00E544C0">
        <w:rPr>
          <w:rStyle w:val="gcsy"/>
          <w:rFonts w:ascii="Times" w:eastAsia="Times New Roman" w:hAnsi="Times" w:cs="Microsoft Tai Le"/>
          <w:sz w:val="20"/>
          <w:szCs w:val="20"/>
        </w:rPr>
        <w:t>se</w:t>
      </w:r>
      <w:proofErr w:type="gramEnd"/>
      <w:r w:rsidRPr="00E544C0">
        <w:rPr>
          <w:rStyle w:val="gcsy"/>
          <w:rFonts w:ascii="Times" w:eastAsia="Times New Roman" w:hAnsi="Times" w:cs="Microsoft Tai Le"/>
          <w:sz w:val="20"/>
          <w:szCs w:val="20"/>
        </w:rPr>
        <w:t xml:space="preserve"> faire passer pour quelqu’un d’autre</w:t>
      </w:r>
    </w:p>
    <w:p w14:paraId="075C4795" w14:textId="77777777" w:rsidR="00E544C0" w:rsidRDefault="00E544C0">
      <w:pPr>
        <w:pStyle w:val="Notedebasdepage"/>
      </w:pPr>
    </w:p>
  </w:footnote>
  <w:footnote w:id="4">
    <w:p w14:paraId="2EE4E50C" w14:textId="1C8F4522" w:rsidR="00AB424D" w:rsidRDefault="00AB424D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hyperlink r:id="rId3" w:history="1">
        <w:proofErr w:type="spellStart"/>
        <w:r>
          <w:rPr>
            <w:rStyle w:val="Lienhypertexte"/>
            <w:rFonts w:eastAsia="Times New Roman"/>
          </w:rPr>
          <w:t>qi</w:t>
        </w:r>
        <w:r>
          <w:rPr>
            <w:rStyle w:val="Lienhypertexte"/>
            <w:rFonts w:eastAsia="Times New Roman"/>
          </w:rPr>
          <w:t>è</w:t>
        </w:r>
        <w:r>
          <w:rPr>
            <w:rStyle w:val="Lienhypertexte"/>
            <w:rFonts w:eastAsia="Times New Roman"/>
          </w:rPr>
          <w:t>d</w:t>
        </w:r>
        <w:r>
          <w:rPr>
            <w:rStyle w:val="Lienhypertexte"/>
            <w:rFonts w:eastAsia="Times New Roman"/>
          </w:rPr>
          <w:t>à</w:t>
        </w:r>
        <w:r>
          <w:rPr>
            <w:rStyle w:val="Lienhypertexte"/>
            <w:rFonts w:eastAsia="Times New Roman"/>
          </w:rPr>
          <w:t>o</w:t>
        </w:r>
        <w:proofErr w:type="spellEnd"/>
      </w:hyperlink>
      <w:r>
        <w:rPr>
          <w:rFonts w:eastAsia="Times New Roman"/>
        </w:rPr>
        <w:t xml:space="preserve"> / </w:t>
      </w:r>
      <w:r>
        <w:rPr>
          <w:rFonts w:ascii="儷宋 Pro" w:eastAsia="儷宋 Pro" w:hAnsi="儷宋 Pro" w:cs="儷宋 Pro" w:hint="eastAsia"/>
        </w:rPr>
        <w:t>竊盜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0"/>
    <w:rsid w:val="0000046E"/>
    <w:rsid w:val="00070FAB"/>
    <w:rsid w:val="000D457E"/>
    <w:rsid w:val="0017754A"/>
    <w:rsid w:val="002114FD"/>
    <w:rsid w:val="00272562"/>
    <w:rsid w:val="003A45B8"/>
    <w:rsid w:val="004860F2"/>
    <w:rsid w:val="00582BF3"/>
    <w:rsid w:val="005A29AC"/>
    <w:rsid w:val="005D0D75"/>
    <w:rsid w:val="00632FCC"/>
    <w:rsid w:val="00644A65"/>
    <w:rsid w:val="006B3498"/>
    <w:rsid w:val="00700937"/>
    <w:rsid w:val="007D64EC"/>
    <w:rsid w:val="008930D1"/>
    <w:rsid w:val="008C171E"/>
    <w:rsid w:val="008F0DE0"/>
    <w:rsid w:val="009568F0"/>
    <w:rsid w:val="00A5699A"/>
    <w:rsid w:val="00A704C7"/>
    <w:rsid w:val="00AB424D"/>
    <w:rsid w:val="00AB5133"/>
    <w:rsid w:val="00B136F4"/>
    <w:rsid w:val="00C04759"/>
    <w:rsid w:val="00C352BC"/>
    <w:rsid w:val="00C45776"/>
    <w:rsid w:val="00C62D8B"/>
    <w:rsid w:val="00C90339"/>
    <w:rsid w:val="00D95D2B"/>
    <w:rsid w:val="00DB5CDC"/>
    <w:rsid w:val="00E03E90"/>
    <w:rsid w:val="00E13DE8"/>
    <w:rsid w:val="00E544C0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821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unhideWhenUsed/>
    <w:rsid w:val="00E03E90"/>
    <w:pPr>
      <w:spacing w:before="100" w:beforeAutospacing="1" w:after="100" w:afterAutospacing="1"/>
    </w:pPr>
    <w:rPr>
      <w:rFonts w:ascii="Times" w:hAnsi="Times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3E9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70FAB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70FAB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070FAB"/>
    <w:rPr>
      <w:vertAlign w:val="superscript"/>
    </w:rPr>
  </w:style>
  <w:style w:type="paragraph" w:customStyle="1" w:styleId="zdct0">
    <w:name w:val="zdct0"/>
    <w:basedOn w:val="Normal"/>
    <w:rsid w:val="0017754A"/>
    <w:pPr>
      <w:spacing w:before="100" w:beforeAutospacing="1" w:after="100" w:afterAutospacing="1"/>
    </w:pPr>
    <w:rPr>
      <w:rFonts w:ascii="Times" w:hAnsi="Times"/>
      <w:lang w:eastAsia="fr-FR"/>
    </w:rPr>
  </w:style>
  <w:style w:type="character" w:styleId="lev">
    <w:name w:val="Strong"/>
    <w:basedOn w:val="Policepardfaut"/>
    <w:uiPriority w:val="22"/>
    <w:qFormat/>
    <w:rsid w:val="0017754A"/>
    <w:rPr>
      <w:b/>
      <w:bCs/>
    </w:rPr>
  </w:style>
  <w:style w:type="character" w:customStyle="1" w:styleId="dicpy">
    <w:name w:val="dicpy"/>
    <w:basedOn w:val="Policepardfaut"/>
    <w:rsid w:val="0017754A"/>
  </w:style>
  <w:style w:type="paragraph" w:styleId="Textedebulles">
    <w:name w:val="Balloon Text"/>
    <w:basedOn w:val="Normal"/>
    <w:link w:val="TextedebullesCar"/>
    <w:uiPriority w:val="99"/>
    <w:semiHidden/>
    <w:unhideWhenUsed/>
    <w:rsid w:val="001775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54A"/>
    <w:rPr>
      <w:rFonts w:ascii="Lucida Grande" w:hAnsi="Lucida Grande" w:cs="Lucida Grande"/>
      <w:sz w:val="18"/>
      <w:szCs w:val="18"/>
    </w:rPr>
  </w:style>
  <w:style w:type="character" w:customStyle="1" w:styleId="gcsy">
    <w:name w:val="gc_sy"/>
    <w:basedOn w:val="Policepardfaut"/>
    <w:rsid w:val="001775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unhideWhenUsed/>
    <w:rsid w:val="00E03E90"/>
    <w:pPr>
      <w:spacing w:before="100" w:beforeAutospacing="1" w:after="100" w:afterAutospacing="1"/>
    </w:pPr>
    <w:rPr>
      <w:rFonts w:ascii="Times" w:hAnsi="Times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3E9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70FAB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70FAB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070FAB"/>
    <w:rPr>
      <w:vertAlign w:val="superscript"/>
    </w:rPr>
  </w:style>
  <w:style w:type="paragraph" w:customStyle="1" w:styleId="zdct0">
    <w:name w:val="zdct0"/>
    <w:basedOn w:val="Normal"/>
    <w:rsid w:val="0017754A"/>
    <w:pPr>
      <w:spacing w:before="100" w:beforeAutospacing="1" w:after="100" w:afterAutospacing="1"/>
    </w:pPr>
    <w:rPr>
      <w:rFonts w:ascii="Times" w:hAnsi="Times"/>
      <w:lang w:eastAsia="fr-FR"/>
    </w:rPr>
  </w:style>
  <w:style w:type="character" w:styleId="lev">
    <w:name w:val="Strong"/>
    <w:basedOn w:val="Policepardfaut"/>
    <w:uiPriority w:val="22"/>
    <w:qFormat/>
    <w:rsid w:val="0017754A"/>
    <w:rPr>
      <w:b/>
      <w:bCs/>
    </w:rPr>
  </w:style>
  <w:style w:type="character" w:customStyle="1" w:styleId="dicpy">
    <w:name w:val="dicpy"/>
    <w:basedOn w:val="Policepardfaut"/>
    <w:rsid w:val="0017754A"/>
  </w:style>
  <w:style w:type="paragraph" w:styleId="Textedebulles">
    <w:name w:val="Balloon Text"/>
    <w:basedOn w:val="Normal"/>
    <w:link w:val="TextedebullesCar"/>
    <w:uiPriority w:val="99"/>
    <w:semiHidden/>
    <w:unhideWhenUsed/>
    <w:rsid w:val="001775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54A"/>
    <w:rPr>
      <w:rFonts w:ascii="Lucida Grande" w:hAnsi="Lucida Grande" w:cs="Lucida Grande"/>
      <w:sz w:val="18"/>
      <w:szCs w:val="18"/>
    </w:rPr>
  </w:style>
  <w:style w:type="character" w:customStyle="1" w:styleId="gcsy">
    <w:name w:val="gc_sy"/>
    <w:basedOn w:val="Policepardfaut"/>
    <w:rsid w:val="0017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866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1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0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2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eC/DQLL_1740/5.6.3.274.1" TargetMode="External"/><Relationship Id="rId8" Type="http://schemas.openxmlformats.org/officeDocument/2006/relationships/hyperlink" Target="http://lsc.chineselegalculture.org/eC/DQLL_1740/5.6.3.274.2" TargetMode="External"/><Relationship Id="rId9" Type="http://schemas.openxmlformats.org/officeDocument/2006/relationships/hyperlink" Target="http://lsc.chineselegalculture.org/eC/DQLL_1740/5.6.3.274.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sc.chineselegalculture.org/Glossary/Terms?ID=178" TargetMode="External"/><Relationship Id="rId2" Type="http://schemas.openxmlformats.org/officeDocument/2006/relationships/hyperlink" Target="http://lsc.chineselegalculture.org/Glossary/Terms?ID=292" TargetMode="External"/><Relationship Id="rId3" Type="http://schemas.openxmlformats.org/officeDocument/2006/relationships/hyperlink" Target="http://lsc.chineselegalculture.org/Glossary/Terms?ID=7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350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4</cp:revision>
  <dcterms:created xsi:type="dcterms:W3CDTF">2017-05-13T04:21:00Z</dcterms:created>
  <dcterms:modified xsi:type="dcterms:W3CDTF">2017-05-13T15:16:00Z</dcterms:modified>
</cp:coreProperties>
</file>