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BA67B" w14:textId="77777777" w:rsidR="006C32FC" w:rsidRPr="006C32FC" w:rsidRDefault="006C32FC" w:rsidP="006C32FC">
      <w:pPr>
        <w:wordWrap w:val="0"/>
        <w:jc w:val="center"/>
        <w:rPr>
          <w:rFonts w:ascii="宋体" w:eastAsia="宋体" w:hAnsi="宋体" w:cs="Libian TC Regular" w:hint="eastAsia"/>
          <w:b/>
          <w:iCs/>
          <w:lang w:eastAsia="ko-KR"/>
        </w:rPr>
      </w:pPr>
      <w:r w:rsidRPr="006C32FC">
        <w:rPr>
          <w:rFonts w:ascii="宋体" w:eastAsia="宋体" w:hAnsi="宋体" w:cs="Libian TC Regular" w:hint="eastAsia"/>
          <w:b/>
          <w:iCs/>
          <w:lang w:eastAsia="ko-KR"/>
        </w:rPr>
        <w:t>大典會通</w:t>
      </w:r>
    </w:p>
    <w:p w14:paraId="410EACB4" w14:textId="77777777" w:rsidR="006C32FC" w:rsidRPr="006C32FC" w:rsidRDefault="006C32FC" w:rsidP="006C32FC">
      <w:pPr>
        <w:wordWrap w:val="0"/>
        <w:jc w:val="center"/>
        <w:rPr>
          <w:rFonts w:ascii="Times New Roman" w:eastAsia="宋体" w:hAnsi="Times New Roman" w:cs="Times New Roman"/>
          <w:b/>
          <w:iCs/>
          <w:lang w:eastAsia="ko-KR"/>
        </w:rPr>
      </w:pPr>
      <w:r w:rsidRPr="006C32FC">
        <w:rPr>
          <w:rFonts w:ascii="Times New Roman" w:eastAsia="宋体" w:hAnsi="Times New Roman" w:cs="Times New Roman"/>
          <w:b/>
          <w:i/>
          <w:iCs/>
          <w:lang w:eastAsia="ko-KR"/>
        </w:rPr>
        <w:t xml:space="preserve">Taejŏn </w:t>
      </w:r>
      <w:proofErr w:type="spellStart"/>
      <w:r w:rsidRPr="006C32FC">
        <w:rPr>
          <w:rFonts w:ascii="Times New Roman" w:eastAsia="宋体" w:hAnsi="Times New Roman" w:cs="Times New Roman"/>
          <w:b/>
          <w:i/>
          <w:iCs/>
          <w:lang w:eastAsia="ko-KR"/>
        </w:rPr>
        <w:t>hoet’ong</w:t>
      </w:r>
      <w:proofErr w:type="spellEnd"/>
      <w:r w:rsidRPr="006C32FC">
        <w:rPr>
          <w:rFonts w:ascii="Times New Roman" w:eastAsia="宋体" w:hAnsi="Times New Roman" w:cs="Times New Roman"/>
          <w:b/>
          <w:iCs/>
          <w:lang w:eastAsia="ko-KR"/>
        </w:rPr>
        <w:t xml:space="preserve"> (1865)</w:t>
      </w:r>
    </w:p>
    <w:p w14:paraId="6B043E25" w14:textId="77777777" w:rsidR="006C32FC" w:rsidRDefault="006C32FC" w:rsidP="006C32FC">
      <w:pPr>
        <w:wordWrap w:val="0"/>
        <w:jc w:val="both"/>
        <w:rPr>
          <w:rFonts w:ascii="宋体" w:eastAsia="宋体" w:hAnsi="宋体" w:cs="Libian TC Regular"/>
          <w:i/>
          <w:iCs/>
          <w:lang w:eastAsia="ko-KR"/>
        </w:rPr>
      </w:pPr>
    </w:p>
    <w:p w14:paraId="1CD0F998" w14:textId="77777777" w:rsidR="006C32FC" w:rsidRPr="006C32FC" w:rsidRDefault="006C32FC" w:rsidP="006C32FC">
      <w:pPr>
        <w:wordWrap w:val="0"/>
        <w:jc w:val="both"/>
        <w:rPr>
          <w:rFonts w:ascii="宋体" w:eastAsia="宋体" w:hAnsi="宋体" w:cs="Libian TC Regular"/>
          <w:iCs/>
          <w:lang w:eastAsia="ko-KR"/>
        </w:rPr>
      </w:pPr>
      <w:r w:rsidRPr="006C32FC">
        <w:rPr>
          <w:rFonts w:ascii="Times New Roman" w:eastAsia="宋体" w:hAnsi="Times New Roman" w:cs="Times New Roman"/>
          <w:iCs/>
          <w:lang w:eastAsia="ko-KR"/>
        </w:rPr>
        <w:t>Partie</w:t>
      </w:r>
      <w:r>
        <w:rPr>
          <w:rFonts w:ascii="宋体" w:eastAsia="宋体" w:hAnsi="宋体" w:cs="Libian TC Regular"/>
          <w:iCs/>
          <w:lang w:eastAsia="ko-KR"/>
        </w:rPr>
        <w:t xml:space="preserve"> </w:t>
      </w:r>
      <w:r w:rsidRPr="006C32FC">
        <w:rPr>
          <w:rFonts w:ascii="宋体" w:eastAsia="宋体" w:hAnsi="宋体" w:cs="Libian TC Regular" w:hint="eastAsia"/>
          <w:iCs/>
          <w:lang w:eastAsia="ko-KR"/>
        </w:rPr>
        <w:t>禮典</w:t>
      </w:r>
    </w:p>
    <w:p w14:paraId="18040248" w14:textId="77777777" w:rsidR="006C32FC" w:rsidRDefault="006C32FC" w:rsidP="006C32FC">
      <w:pPr>
        <w:wordWrap w:val="0"/>
        <w:jc w:val="both"/>
        <w:rPr>
          <w:rFonts w:ascii="宋体" w:eastAsia="宋体" w:hAnsi="宋体" w:cs="Libian TC Regular"/>
          <w:i/>
          <w:iCs/>
          <w:lang w:eastAsia="ko-KR"/>
        </w:rPr>
      </w:pPr>
    </w:p>
    <w:p w14:paraId="6CD83143" w14:textId="77777777" w:rsidR="006C32FC" w:rsidRPr="006C32FC" w:rsidRDefault="006C32FC" w:rsidP="006C32FC">
      <w:pPr>
        <w:wordWrap w:val="0"/>
        <w:jc w:val="both"/>
        <w:rPr>
          <w:rFonts w:ascii="宋体" w:eastAsia="宋体" w:hAnsi="宋体" w:cs="Libian TC Regular"/>
          <w:i/>
          <w:iCs/>
          <w:lang w:eastAsia="ko-KR"/>
        </w:rPr>
      </w:pPr>
    </w:p>
    <w:p w14:paraId="3CE6BE84" w14:textId="77777777" w:rsidR="006C32FC" w:rsidRPr="00635264" w:rsidRDefault="006C32FC" w:rsidP="006C32FC">
      <w:pPr>
        <w:wordWrap w:val="0"/>
        <w:jc w:val="both"/>
        <w:rPr>
          <w:rFonts w:ascii="宋体" w:eastAsia="宋体" w:hAnsi="宋体" w:cs="Libian TC Regular"/>
          <w:b/>
          <w:iCs/>
          <w:sz w:val="28"/>
          <w:szCs w:val="28"/>
          <w:lang w:eastAsia="ko-KR"/>
        </w:rPr>
      </w:pPr>
      <w:r w:rsidRPr="00635264">
        <w:rPr>
          <w:rFonts w:ascii="宋体" w:eastAsia="宋体" w:hAnsi="宋体" w:cs="Libian TC Regular"/>
          <w:b/>
          <w:iCs/>
          <w:sz w:val="28"/>
          <w:szCs w:val="28"/>
          <w:lang w:eastAsia="ko-KR"/>
        </w:rPr>
        <w:t xml:space="preserve">立後 </w:t>
      </w:r>
    </w:p>
    <w:p w14:paraId="7B27AC6F" w14:textId="77777777" w:rsidR="008A667E" w:rsidRPr="00635264" w:rsidRDefault="008A667E" w:rsidP="006C32FC">
      <w:pPr>
        <w:wordWrap w:val="0"/>
        <w:jc w:val="both"/>
        <w:rPr>
          <w:rFonts w:ascii="宋体" w:eastAsia="宋体" w:hAnsi="宋体" w:cs="Libian TC Regular"/>
          <w:b/>
          <w:iCs/>
          <w:sz w:val="28"/>
          <w:szCs w:val="28"/>
          <w:lang w:eastAsia="ko-KR"/>
        </w:rPr>
      </w:pPr>
      <w:r w:rsidRPr="00635264">
        <w:rPr>
          <w:rFonts w:ascii="Menlo Regular" w:eastAsia="宋体" w:hAnsi="Menlo Regular" w:cs="Menlo Regular"/>
          <w:b/>
          <w:iCs/>
          <w:sz w:val="28"/>
          <w:szCs w:val="28"/>
          <w:lang w:eastAsia="ko-KR"/>
        </w:rPr>
        <w:t>❮</w:t>
      </w:r>
      <w:r w:rsidRPr="00635264">
        <w:rPr>
          <w:rFonts w:ascii="宋体" w:eastAsia="宋体" w:hAnsi="宋体" w:cs="Libian TC Regular"/>
          <w:iCs/>
          <w:sz w:val="28"/>
          <w:szCs w:val="28"/>
          <w:lang w:eastAsia="ko-KR"/>
        </w:rPr>
        <w:t>原</w:t>
      </w:r>
      <w:r w:rsidRPr="00635264">
        <w:rPr>
          <w:rFonts w:ascii="Menlo Regular" w:eastAsia="宋体" w:hAnsi="Menlo Regular" w:cs="Menlo Regular"/>
          <w:b/>
          <w:iCs/>
          <w:sz w:val="28"/>
          <w:szCs w:val="28"/>
          <w:lang w:eastAsia="ko-KR"/>
        </w:rPr>
        <w:t>❯</w:t>
      </w:r>
    </w:p>
    <w:p w14:paraId="3C0F2066" w14:textId="77777777" w:rsidR="006C32FC" w:rsidRPr="00635264" w:rsidRDefault="006C32FC" w:rsidP="006C32FC">
      <w:pPr>
        <w:wordWrap w:val="0"/>
        <w:jc w:val="both"/>
        <w:rPr>
          <w:rFonts w:ascii="宋体" w:eastAsia="宋体" w:hAnsi="宋体" w:cs="Libian TC Regular"/>
          <w:sz w:val="28"/>
          <w:szCs w:val="28"/>
          <w:lang w:eastAsia="ko-KR"/>
        </w:rPr>
      </w:pPr>
      <w:r w:rsidRPr="00635264">
        <w:rPr>
          <w:rFonts w:ascii="宋体" w:eastAsia="宋体" w:hAnsi="宋体" w:cs="Libian TC Regular"/>
          <w:sz w:val="28"/>
          <w:szCs w:val="28"/>
          <w:lang w:eastAsia="ko-KR"/>
        </w:rPr>
        <w:t>嫡</w:t>
      </w:r>
      <w:r w:rsidRPr="00635264">
        <w:rPr>
          <w:rFonts w:ascii="宋体" w:eastAsia="宋体" w:hAnsi="宋体" w:cs="Times New Roman"/>
          <w:sz w:val="28"/>
          <w:szCs w:val="28"/>
          <w:lang w:eastAsia="ko-KR"/>
        </w:rPr>
        <w:t>·</w:t>
      </w:r>
      <w:proofErr w:type="spellStart"/>
      <w:r w:rsidRPr="00635264">
        <w:rPr>
          <w:rFonts w:ascii="宋体" w:eastAsia="宋体" w:hAnsi="宋体" w:cs="Libian TC Regular"/>
          <w:sz w:val="28"/>
          <w:szCs w:val="28"/>
          <w:lang w:eastAsia="ko-KR"/>
        </w:rPr>
        <w:t>妾俱無子者告官</w:t>
      </w:r>
      <w:proofErr w:type="spellEnd"/>
      <w:r w:rsidRPr="00635264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proofErr w:type="spellStart"/>
      <w:r w:rsidRPr="00635264">
        <w:rPr>
          <w:rFonts w:ascii="宋体" w:eastAsia="宋体" w:hAnsi="宋体" w:cs="Libian TC Regular"/>
          <w:sz w:val="28"/>
          <w:szCs w:val="28"/>
          <w:lang w:eastAsia="ko-KR"/>
        </w:rPr>
        <w:t>立同宗支子爲後。兩家父同命立之</w:t>
      </w:r>
      <w:proofErr w:type="spellEnd"/>
      <w:r w:rsidRPr="00635264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proofErr w:type="spellStart"/>
      <w:r w:rsidRPr="00635264">
        <w:rPr>
          <w:rFonts w:ascii="宋体" w:eastAsia="宋体" w:hAnsi="宋体" w:cs="Libian TC Regular"/>
          <w:sz w:val="28"/>
          <w:szCs w:val="28"/>
          <w:lang w:eastAsia="ko-KR"/>
        </w:rPr>
        <w:t>父歿</w:t>
      </w:r>
      <w:proofErr w:type="spellEnd"/>
      <w:r w:rsidRPr="00635264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proofErr w:type="spellStart"/>
      <w:r w:rsidRPr="00635264">
        <w:rPr>
          <w:rFonts w:ascii="宋体" w:eastAsia="宋体" w:hAnsi="宋体" w:cs="Libian TC Regular"/>
          <w:sz w:val="28"/>
          <w:szCs w:val="28"/>
          <w:lang w:eastAsia="ko-KR"/>
        </w:rPr>
        <w:t>則母告官</w:t>
      </w:r>
      <w:proofErr w:type="spellEnd"/>
      <w:r w:rsidRPr="00635264">
        <w:rPr>
          <w:rFonts w:ascii="宋体" w:eastAsia="宋体" w:hAnsi="宋体" w:cs="Libian TC Regular"/>
          <w:sz w:val="28"/>
          <w:szCs w:val="28"/>
          <w:lang w:eastAsia="ko-KR"/>
        </w:rPr>
        <w:t>。</w:t>
      </w:r>
      <w:r w:rsidRPr="00635264">
        <w:rPr>
          <w:rFonts w:ascii="宋体" w:eastAsia="宋体" w:hAnsi="宋体" w:cs="Times New Roman"/>
          <w:sz w:val="28"/>
          <w:szCs w:val="28"/>
          <w:lang w:eastAsia="ko-KR"/>
        </w:rPr>
        <w:t xml:space="preserve"> </w:t>
      </w:r>
      <w:proofErr w:type="spellStart"/>
      <w:r w:rsidRPr="00635264">
        <w:rPr>
          <w:rFonts w:ascii="宋体" w:eastAsia="宋体" w:hAnsi="宋体" w:cs="Libian TC Regular"/>
          <w:sz w:val="28"/>
          <w:szCs w:val="28"/>
          <w:lang w:eastAsia="ko-KR"/>
        </w:rPr>
        <w:t>尊屬與兄弟及孫</w:t>
      </w:r>
      <w:proofErr w:type="spellEnd"/>
      <w:r w:rsidRPr="00635264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635264">
        <w:rPr>
          <w:rFonts w:ascii="宋体" w:eastAsia="宋体" w:hAnsi="宋体" w:cs="Libian TC Regular"/>
          <w:sz w:val="28"/>
          <w:szCs w:val="28"/>
          <w:lang w:eastAsia="ko-KR"/>
        </w:rPr>
        <w:t>不相爲後。</w:t>
      </w:r>
    </w:p>
    <w:p w14:paraId="20099424" w14:textId="79062531" w:rsidR="006C32FC" w:rsidRPr="00635264" w:rsidRDefault="0028613B" w:rsidP="006C32FC">
      <w:pPr>
        <w:wordWrap w:val="0"/>
        <w:jc w:val="both"/>
        <w:rPr>
          <w:rFonts w:ascii="宋体" w:eastAsia="宋体" w:hAnsi="宋体" w:cs="Libian TC Regular"/>
          <w:sz w:val="28"/>
          <w:szCs w:val="28"/>
          <w:lang w:eastAsia="ko-KR"/>
        </w:rPr>
      </w:pPr>
      <w:r w:rsidRPr="00635264">
        <w:rPr>
          <w:rFonts w:ascii="Menlo Regular" w:eastAsia="宋体" w:hAnsi="Menlo Regular" w:cs="Menlo Regular"/>
          <w:b/>
          <w:iCs/>
          <w:sz w:val="28"/>
          <w:szCs w:val="28"/>
          <w:lang w:eastAsia="ko-KR"/>
        </w:rPr>
        <w:t>❮</w:t>
      </w:r>
      <w:r w:rsidR="006C32FC" w:rsidRPr="00635264">
        <w:rPr>
          <w:rStyle w:val="Accentuation"/>
          <w:rFonts w:ascii="宋体" w:eastAsia="宋体" w:hAnsi="宋体" w:cs="Libian TC Regular"/>
          <w:i w:val="0"/>
          <w:sz w:val="28"/>
          <w:szCs w:val="28"/>
        </w:rPr>
        <w:t>續</w:t>
      </w:r>
      <w:r w:rsidRPr="00635264">
        <w:rPr>
          <w:rFonts w:ascii="Menlo Regular" w:eastAsia="宋体" w:hAnsi="Menlo Regular" w:cs="Menlo Regular"/>
          <w:b/>
          <w:iCs/>
          <w:sz w:val="28"/>
          <w:szCs w:val="28"/>
          <w:lang w:eastAsia="ko-KR"/>
        </w:rPr>
        <w:t>❯</w:t>
      </w:r>
      <w:r w:rsidR="006C32FC" w:rsidRPr="00635264">
        <w:rPr>
          <w:rFonts w:ascii="宋体" w:eastAsia="宋体" w:hAnsi="宋体" w:cs="Libian TC Regular"/>
          <w:iCs/>
          <w:sz w:val="28"/>
          <w:szCs w:val="28"/>
          <w:lang w:eastAsia="ko-KR"/>
        </w:rPr>
        <w:t xml:space="preserve"> </w:t>
      </w:r>
      <w:proofErr w:type="spellStart"/>
      <w:r w:rsidR="006C32FC" w:rsidRPr="00635264">
        <w:rPr>
          <w:rFonts w:ascii="宋体" w:eastAsia="宋体" w:hAnsi="宋体" w:cs="Libian TC Regular"/>
          <w:sz w:val="28"/>
          <w:szCs w:val="28"/>
        </w:rPr>
        <w:t>凡嫡長子無後者</w:t>
      </w:r>
      <w:proofErr w:type="spellEnd"/>
      <w:r w:rsidR="006C32FC" w:rsidRPr="00635264">
        <w:rPr>
          <w:rFonts w:ascii="宋体" w:eastAsia="宋体" w:hAnsi="宋体"/>
          <w:sz w:val="28"/>
          <w:szCs w:val="28"/>
        </w:rPr>
        <w:t xml:space="preserve">, </w:t>
      </w:r>
      <w:proofErr w:type="spellStart"/>
      <w:r w:rsidR="006C32FC" w:rsidRPr="00635264">
        <w:rPr>
          <w:rFonts w:ascii="宋体" w:eastAsia="宋体" w:hAnsi="宋体" w:cs="Libian TC Regular"/>
          <w:sz w:val="28"/>
          <w:szCs w:val="28"/>
        </w:rPr>
        <w:t>以同宗近屬</w:t>
      </w:r>
      <w:proofErr w:type="spellEnd"/>
      <w:r w:rsidR="006C32FC" w:rsidRPr="00635264">
        <w:rPr>
          <w:rFonts w:ascii="宋体" w:eastAsia="宋体" w:hAnsi="宋体"/>
          <w:sz w:val="28"/>
          <w:szCs w:val="28"/>
        </w:rPr>
        <w:t xml:space="preserve">, </w:t>
      </w:r>
      <w:r w:rsidR="006C32FC" w:rsidRPr="00635264">
        <w:rPr>
          <w:rFonts w:ascii="宋体" w:eastAsia="宋体" w:hAnsi="宋体" w:cs="Libian TC Regular"/>
          <w:sz w:val="28"/>
          <w:szCs w:val="28"/>
        </w:rPr>
        <w:t>許令立後。</w:t>
      </w:r>
    </w:p>
    <w:p w14:paraId="0F9B8252" w14:textId="091EAE02" w:rsidR="00635264" w:rsidRDefault="00A2189B" w:rsidP="00A2189B">
      <w:pPr>
        <w:wordWrap w:val="0"/>
        <w:jc w:val="both"/>
        <w:rPr>
          <w:rFonts w:ascii="宋体" w:eastAsia="宋体" w:hAnsi="宋体" w:cs="Libian TC Regular"/>
          <w:color w:val="0000FF"/>
          <w:lang w:eastAsia="ko-KR"/>
        </w:rPr>
      </w:pPr>
      <w:r w:rsidRPr="00635264">
        <w:rPr>
          <w:rFonts w:ascii="宋体" w:eastAsia="宋体" w:hAnsi="宋体"/>
          <w:sz w:val="28"/>
          <w:szCs w:val="28"/>
        </w:rPr>
        <w:t xml:space="preserve">○ </w:t>
      </w:r>
      <w:proofErr w:type="spellStart"/>
      <w:r w:rsidRPr="00635264">
        <w:rPr>
          <w:rFonts w:ascii="宋体" w:eastAsia="宋体" w:hAnsi="宋体" w:cs="Libian TC Regular"/>
          <w:sz w:val="28"/>
          <w:szCs w:val="28"/>
        </w:rPr>
        <w:t>外方人立後者</w:t>
      </w:r>
      <w:proofErr w:type="spellEnd"/>
      <w:r w:rsidRPr="00635264">
        <w:rPr>
          <w:rFonts w:ascii="宋体" w:eastAsia="宋体" w:hAnsi="宋体"/>
          <w:sz w:val="28"/>
          <w:szCs w:val="28"/>
        </w:rPr>
        <w:t xml:space="preserve">, </w:t>
      </w:r>
      <w:proofErr w:type="spellStart"/>
      <w:r w:rsidRPr="00635264">
        <w:rPr>
          <w:rFonts w:ascii="宋体" w:eastAsia="宋体" w:hAnsi="宋体" w:cs="Libian TC Regular"/>
          <w:sz w:val="28"/>
          <w:szCs w:val="28"/>
        </w:rPr>
        <w:t>呈狀本道觀察使</w:t>
      </w:r>
      <w:proofErr w:type="spellEnd"/>
      <w:r w:rsidRPr="00635264">
        <w:rPr>
          <w:rFonts w:ascii="宋体" w:eastAsia="宋体" w:hAnsi="宋体"/>
          <w:sz w:val="28"/>
          <w:szCs w:val="28"/>
        </w:rPr>
        <w:t xml:space="preserve">, </w:t>
      </w:r>
      <w:proofErr w:type="spellStart"/>
      <w:r w:rsidRPr="00635264">
        <w:rPr>
          <w:rFonts w:ascii="宋体" w:eastAsia="宋体" w:hAnsi="宋体" w:cs="Libian TC Regular"/>
          <w:sz w:val="28"/>
          <w:szCs w:val="28"/>
        </w:rPr>
        <w:t>開錄啓聞</w:t>
      </w:r>
      <w:proofErr w:type="spellEnd"/>
      <w:r w:rsidRPr="00635264">
        <w:rPr>
          <w:rFonts w:ascii="宋体" w:eastAsia="宋体" w:hAnsi="宋体"/>
          <w:sz w:val="28"/>
          <w:szCs w:val="28"/>
        </w:rPr>
        <w:t xml:space="preserve">, </w:t>
      </w:r>
      <w:r w:rsidRPr="00635264">
        <w:rPr>
          <w:rFonts w:ascii="宋体" w:eastAsia="宋体" w:hAnsi="宋体" w:cs="Libian TC Regular"/>
          <w:sz w:val="28"/>
          <w:szCs w:val="28"/>
        </w:rPr>
        <w:t>自本曹成立案下送。</w:t>
      </w:r>
      <w:r w:rsidRPr="006C32FC">
        <w:rPr>
          <w:rFonts w:ascii="宋体" w:eastAsia="宋体" w:hAnsi="宋体" w:cs="Libian TC Regular"/>
          <w:color w:val="0000FF"/>
          <w:sz w:val="22"/>
          <w:szCs w:val="22"/>
        </w:rPr>
        <w:t>繼後文書</w:t>
      </w:r>
      <w:r w:rsidRPr="006C32FC">
        <w:rPr>
          <w:rFonts w:ascii="宋体" w:eastAsia="宋体" w:hAnsi="宋体"/>
          <w:color w:val="0000FF"/>
          <w:sz w:val="22"/>
          <w:szCs w:val="22"/>
        </w:rPr>
        <w:t xml:space="preserve">, </w:t>
      </w:r>
      <w:proofErr w:type="spellStart"/>
      <w:r w:rsidRPr="006C32FC">
        <w:rPr>
          <w:rFonts w:ascii="宋体" w:eastAsia="宋体" w:hAnsi="宋体" w:cs="Libian TC Regular"/>
          <w:color w:val="0000FF"/>
          <w:sz w:val="22"/>
          <w:szCs w:val="22"/>
        </w:rPr>
        <w:t>無長官時</w:t>
      </w:r>
      <w:proofErr w:type="spellEnd"/>
      <w:r w:rsidRPr="006C32FC">
        <w:rPr>
          <w:rFonts w:ascii="宋体" w:eastAsia="宋体" w:hAnsi="宋体"/>
          <w:color w:val="0000FF"/>
          <w:sz w:val="22"/>
          <w:szCs w:val="22"/>
        </w:rPr>
        <w:t xml:space="preserve">, </w:t>
      </w:r>
      <w:proofErr w:type="spellStart"/>
      <w:r w:rsidRPr="006C32FC">
        <w:rPr>
          <w:rFonts w:ascii="宋体" w:eastAsia="宋体" w:hAnsi="宋体" w:cs="Libian TC Regular"/>
          <w:color w:val="0000FF"/>
          <w:sz w:val="22"/>
          <w:szCs w:val="22"/>
        </w:rPr>
        <w:t>則次堂上二員聯名入啓</w:t>
      </w:r>
      <w:proofErr w:type="spellEnd"/>
      <w:r w:rsidRPr="006C32FC">
        <w:rPr>
          <w:rFonts w:ascii="宋体" w:eastAsia="宋体" w:hAnsi="宋体" w:cs="Libian TC Regular"/>
          <w:color w:val="0000FF"/>
          <w:sz w:val="22"/>
          <w:szCs w:val="22"/>
        </w:rPr>
        <w:t>。</w:t>
      </w:r>
      <w:r w:rsidRPr="006C32FC">
        <w:rPr>
          <w:rFonts w:ascii="宋体" w:eastAsia="宋体" w:hAnsi="宋体" w:cs="Libian TC Regular"/>
          <w:color w:val="0000FF"/>
          <w:lang w:eastAsia="ko-KR"/>
        </w:rPr>
        <w:t>)</w:t>
      </w:r>
    </w:p>
    <w:p w14:paraId="5BE32E46" w14:textId="72CD8F0C" w:rsidR="00635264" w:rsidRDefault="00635264" w:rsidP="00A2189B">
      <w:pPr>
        <w:wordWrap w:val="0"/>
        <w:jc w:val="both"/>
        <w:rPr>
          <w:rFonts w:ascii="宋体" w:eastAsia="宋体" w:hAnsi="宋体" w:cs="Libian TC Regular"/>
          <w:color w:val="0000FF"/>
          <w:sz w:val="22"/>
          <w:szCs w:val="22"/>
        </w:rPr>
      </w:pPr>
      <w:r w:rsidRPr="00635264">
        <w:rPr>
          <w:rFonts w:ascii="宋体" w:eastAsia="宋体" w:hAnsi="宋体"/>
          <w:sz w:val="28"/>
          <w:szCs w:val="28"/>
        </w:rPr>
        <w:t xml:space="preserve">○ </w:t>
      </w:r>
      <w:proofErr w:type="spellStart"/>
      <w:r w:rsidRPr="00635264">
        <w:rPr>
          <w:rFonts w:ascii="宋体" w:eastAsia="宋体" w:hAnsi="宋体" w:cs="Libian TC Regular"/>
          <w:sz w:val="28"/>
          <w:szCs w:val="28"/>
        </w:rPr>
        <w:t>以同宗之長子爲後者及一邊父母俱沒者</w:t>
      </w:r>
      <w:proofErr w:type="spellEnd"/>
      <w:r w:rsidRPr="00635264">
        <w:rPr>
          <w:rFonts w:ascii="宋体" w:eastAsia="宋体" w:hAnsi="宋体"/>
          <w:sz w:val="28"/>
          <w:szCs w:val="28"/>
        </w:rPr>
        <w:t xml:space="preserve">, </w:t>
      </w:r>
      <w:r w:rsidRPr="00635264">
        <w:rPr>
          <w:rFonts w:ascii="宋体" w:eastAsia="宋体" w:hAnsi="宋体" w:cs="Libian TC Regular"/>
          <w:sz w:val="28"/>
          <w:szCs w:val="28"/>
        </w:rPr>
        <w:t>竝勿聽。</w:t>
      </w:r>
      <w:r w:rsidRPr="00635264">
        <w:rPr>
          <w:rFonts w:ascii="Menlo Regular" w:eastAsia="宋体" w:hAnsi="Menlo Regular" w:cs="Menlo Regular"/>
          <w:b/>
          <w:iCs/>
          <w:color w:val="0000FF"/>
          <w:sz w:val="22"/>
          <w:szCs w:val="22"/>
          <w:lang w:eastAsia="ko-KR"/>
        </w:rPr>
        <w:t>❮</w:t>
      </w:r>
      <w:r w:rsidRPr="00635264">
        <w:rPr>
          <w:rStyle w:val="Accentuation"/>
          <w:rFonts w:ascii="宋体" w:eastAsia="宋体" w:hAnsi="宋体" w:cs="Libian TC Regular"/>
          <w:i w:val="0"/>
          <w:color w:val="0000FF"/>
          <w:sz w:val="22"/>
          <w:szCs w:val="22"/>
        </w:rPr>
        <w:t>增</w:t>
      </w:r>
      <w:r w:rsidRPr="00635264">
        <w:rPr>
          <w:rFonts w:ascii="Menlo Regular" w:eastAsia="宋体" w:hAnsi="Menlo Regular" w:cs="Menlo Regular"/>
          <w:b/>
          <w:iCs/>
          <w:color w:val="0000FF"/>
          <w:sz w:val="22"/>
          <w:szCs w:val="22"/>
          <w:lang w:eastAsia="ko-KR"/>
        </w:rPr>
        <w:t>❯</w:t>
      </w:r>
      <w:r w:rsidRPr="00635264">
        <w:rPr>
          <w:rFonts w:ascii="宋体" w:eastAsia="宋体" w:hAnsi="宋体"/>
          <w:color w:val="0000FF"/>
          <w:sz w:val="22"/>
          <w:szCs w:val="22"/>
        </w:rPr>
        <w:t xml:space="preserve"> </w:t>
      </w:r>
      <w:proofErr w:type="spellStart"/>
      <w:r w:rsidRPr="00635264">
        <w:rPr>
          <w:rFonts w:ascii="宋体" w:eastAsia="宋体" w:hAnsi="宋体" w:cs="Libian TC Regular"/>
          <w:color w:val="0000FF"/>
          <w:sz w:val="22"/>
          <w:szCs w:val="22"/>
        </w:rPr>
        <w:t>情理可矜</w:t>
      </w:r>
      <w:proofErr w:type="spellEnd"/>
      <w:r w:rsidRPr="00635264">
        <w:rPr>
          <w:rFonts w:ascii="宋体" w:eastAsia="宋体" w:hAnsi="宋体"/>
          <w:color w:val="0000FF"/>
          <w:sz w:val="22"/>
          <w:szCs w:val="22"/>
        </w:rPr>
        <w:t xml:space="preserve">, </w:t>
      </w:r>
      <w:proofErr w:type="spellStart"/>
      <w:r w:rsidRPr="00635264">
        <w:rPr>
          <w:rFonts w:ascii="宋体" w:eastAsia="宋体" w:hAnsi="宋体" w:cs="Libian TC Regular"/>
          <w:color w:val="0000FF"/>
          <w:sz w:val="22"/>
          <w:szCs w:val="22"/>
        </w:rPr>
        <w:t>則或因一邊父母及門長上言</w:t>
      </w:r>
      <w:proofErr w:type="spellEnd"/>
      <w:r w:rsidRPr="00635264">
        <w:rPr>
          <w:rFonts w:ascii="宋体" w:eastAsia="宋体" w:hAnsi="宋体"/>
          <w:color w:val="0000FF"/>
          <w:sz w:val="22"/>
          <w:szCs w:val="22"/>
        </w:rPr>
        <w:t xml:space="preserve">, </w:t>
      </w:r>
      <w:proofErr w:type="spellStart"/>
      <w:r w:rsidRPr="00635264">
        <w:rPr>
          <w:rFonts w:ascii="宋体" w:eastAsia="宋体" w:hAnsi="宋体" w:cs="Libian TC Regular"/>
          <w:color w:val="0000FF"/>
          <w:sz w:val="22"/>
          <w:szCs w:val="22"/>
        </w:rPr>
        <w:t>本曹回啓</w:t>
      </w:r>
      <w:proofErr w:type="spellEnd"/>
      <w:r w:rsidRPr="00635264">
        <w:rPr>
          <w:rFonts w:ascii="宋体" w:eastAsia="宋体" w:hAnsi="宋体"/>
          <w:color w:val="0000FF"/>
          <w:sz w:val="22"/>
          <w:szCs w:val="22"/>
        </w:rPr>
        <w:t xml:space="preserve">, </w:t>
      </w:r>
      <w:r w:rsidRPr="00635264">
        <w:rPr>
          <w:rFonts w:ascii="宋体" w:eastAsia="宋体" w:hAnsi="宋体" w:cs="Libian TC Regular"/>
          <w:color w:val="0000FF"/>
          <w:sz w:val="22"/>
          <w:szCs w:val="22"/>
        </w:rPr>
        <w:t>許令立後。</w:t>
      </w:r>
      <w:r w:rsidRPr="00635264">
        <w:rPr>
          <w:rFonts w:ascii="Menlo Regular" w:eastAsia="宋体" w:hAnsi="Menlo Regular" w:cs="Menlo Regular"/>
          <w:b/>
          <w:iCs/>
          <w:color w:val="0000FF"/>
          <w:sz w:val="22"/>
          <w:szCs w:val="22"/>
          <w:lang w:eastAsia="ko-KR"/>
        </w:rPr>
        <w:t>❮</w:t>
      </w:r>
      <w:proofErr w:type="spellStart"/>
      <w:r w:rsidRPr="00635264">
        <w:rPr>
          <w:rStyle w:val="Accentuation"/>
          <w:rFonts w:ascii="宋体" w:eastAsia="宋体" w:hAnsi="宋体" w:cs="Libian TC Regular"/>
          <w:i w:val="0"/>
          <w:color w:val="0000FF"/>
          <w:sz w:val="22"/>
          <w:szCs w:val="22"/>
        </w:rPr>
        <w:t>補</w:t>
      </w:r>
      <w:r w:rsidRPr="00635264">
        <w:rPr>
          <w:rFonts w:ascii="Menlo Regular" w:eastAsia="宋体" w:hAnsi="Menlo Regular" w:cs="Menlo Regular"/>
          <w:b/>
          <w:iCs/>
          <w:color w:val="0000FF"/>
          <w:sz w:val="22"/>
          <w:szCs w:val="22"/>
          <w:lang w:eastAsia="ko-KR"/>
        </w:rPr>
        <w:t>❯</w:t>
      </w:r>
      <w:r w:rsidRPr="00635264">
        <w:rPr>
          <w:rFonts w:ascii="宋体" w:eastAsia="宋体" w:hAnsi="宋体" w:cs="Libian TC Regular"/>
          <w:color w:val="0000FF"/>
          <w:sz w:val="22"/>
          <w:szCs w:val="22"/>
        </w:rPr>
        <w:t>一邊或兩邊父母俱死</w:t>
      </w:r>
      <w:proofErr w:type="spellEnd"/>
      <w:r w:rsidRPr="00635264">
        <w:rPr>
          <w:rFonts w:ascii="宋体" w:eastAsia="宋体" w:hAnsi="宋体"/>
          <w:color w:val="0000FF"/>
          <w:sz w:val="22"/>
          <w:szCs w:val="22"/>
        </w:rPr>
        <w:t xml:space="preserve">, </w:t>
      </w:r>
      <w:proofErr w:type="spellStart"/>
      <w:r w:rsidRPr="00635264">
        <w:rPr>
          <w:rFonts w:ascii="宋体" w:eastAsia="宋体" w:hAnsi="宋体" w:cs="Libian TC Regular"/>
          <w:color w:val="0000FF"/>
          <w:sz w:val="22"/>
          <w:szCs w:val="22"/>
        </w:rPr>
        <w:t>而拘於常規</w:t>
      </w:r>
      <w:proofErr w:type="spellEnd"/>
      <w:r w:rsidRPr="00635264">
        <w:rPr>
          <w:rFonts w:ascii="宋体" w:eastAsia="宋体" w:hAnsi="宋体"/>
          <w:color w:val="0000FF"/>
          <w:sz w:val="22"/>
          <w:szCs w:val="22"/>
        </w:rPr>
        <w:t xml:space="preserve">, </w:t>
      </w:r>
      <w:proofErr w:type="spellStart"/>
      <w:r w:rsidRPr="00635264">
        <w:rPr>
          <w:rFonts w:ascii="宋体" w:eastAsia="宋体" w:hAnsi="宋体" w:cs="Libian TC Regular"/>
          <w:color w:val="0000FF"/>
          <w:sz w:val="22"/>
          <w:szCs w:val="22"/>
        </w:rPr>
        <w:t>不得登聞者</w:t>
      </w:r>
      <w:proofErr w:type="spellEnd"/>
      <w:r w:rsidRPr="00635264">
        <w:rPr>
          <w:rFonts w:ascii="宋体" w:eastAsia="宋体" w:hAnsi="宋体"/>
          <w:color w:val="0000FF"/>
          <w:sz w:val="22"/>
          <w:szCs w:val="22"/>
        </w:rPr>
        <w:t xml:space="preserve">, </w:t>
      </w:r>
      <w:r w:rsidRPr="00635264">
        <w:rPr>
          <w:rFonts w:ascii="宋体" w:eastAsia="宋体" w:hAnsi="宋体" w:cs="Libian TC Regular"/>
          <w:color w:val="0000FF"/>
          <w:sz w:val="22"/>
          <w:szCs w:val="22"/>
        </w:rPr>
        <w:t>本曹論理草記。</w:t>
      </w:r>
    </w:p>
    <w:p w14:paraId="090357D6" w14:textId="17A40C65" w:rsidR="00635264" w:rsidRDefault="00635264" w:rsidP="00A2189B">
      <w:pPr>
        <w:wordWrap w:val="0"/>
        <w:jc w:val="both"/>
        <w:rPr>
          <w:rFonts w:ascii="宋体" w:eastAsia="宋体" w:hAnsi="宋体" w:cs="Times New Roman"/>
          <w:color w:val="0000FF"/>
          <w:sz w:val="22"/>
          <w:szCs w:val="22"/>
          <w:lang w:eastAsia="ko-KR"/>
        </w:rPr>
      </w:pPr>
      <w:r w:rsidRPr="00635264">
        <w:rPr>
          <w:rFonts w:ascii="宋体" w:eastAsia="宋体" w:hAnsi="宋体" w:cs="Times New Roman" w:hint="eastAsia"/>
          <w:sz w:val="28"/>
          <w:szCs w:val="28"/>
          <w:lang w:eastAsia="ko-KR"/>
        </w:rPr>
        <w:t>○</w:t>
      </w:r>
      <w:r w:rsidRPr="00635264">
        <w:rPr>
          <w:rFonts w:ascii="宋体" w:eastAsia="宋体" w:hAnsi="宋体" w:cs="Times New Roman"/>
          <w:sz w:val="28"/>
          <w:szCs w:val="28"/>
          <w:lang w:eastAsia="ko-KR"/>
        </w:rPr>
        <w:t xml:space="preserve"> </w:t>
      </w:r>
      <w:r w:rsidRPr="00635264">
        <w:rPr>
          <w:rFonts w:ascii="宋体" w:eastAsia="宋体" w:hAnsi="宋体" w:cs="Times New Roman" w:hint="eastAsia"/>
          <w:sz w:val="28"/>
          <w:szCs w:val="28"/>
          <w:lang w:eastAsia="ko-KR"/>
        </w:rPr>
        <w:t>爲人後者</w:t>
      </w:r>
      <w:r w:rsidRPr="00635264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635264">
        <w:rPr>
          <w:rFonts w:ascii="宋体" w:eastAsia="宋体" w:hAnsi="宋体" w:cs="Times New Roman" w:hint="eastAsia"/>
          <w:sz w:val="28"/>
          <w:szCs w:val="28"/>
          <w:lang w:eastAsia="ko-KR"/>
        </w:rPr>
        <w:t>本生父母絶嗣</w:t>
      </w:r>
      <w:r w:rsidRPr="00635264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635264">
        <w:rPr>
          <w:rFonts w:ascii="宋体" w:eastAsia="宋体" w:hAnsi="宋体" w:cs="Times New Roman" w:hint="eastAsia"/>
          <w:sz w:val="28"/>
          <w:szCs w:val="28"/>
          <w:lang w:eastAsia="ko-KR"/>
        </w:rPr>
        <w:t>則罷繼歸宗</w:t>
      </w:r>
      <w:r w:rsidRPr="00635264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635264">
        <w:rPr>
          <w:rFonts w:ascii="宋体" w:eastAsia="宋体" w:hAnsi="宋体" w:cs="Times New Roman" w:hint="eastAsia"/>
          <w:sz w:val="28"/>
          <w:szCs w:val="28"/>
          <w:lang w:eastAsia="ko-KR"/>
        </w:rPr>
        <w:t>許其所後家改立後。</w:t>
      </w:r>
      <w:r w:rsidRPr="00635264">
        <w:rPr>
          <w:rFonts w:ascii="宋体" w:eastAsia="宋体" w:hAnsi="宋体" w:cs="Times New Roman" w:hint="eastAsia"/>
          <w:color w:val="0000FF"/>
          <w:sz w:val="22"/>
          <w:szCs w:val="22"/>
          <w:lang w:eastAsia="ko-KR"/>
        </w:rPr>
        <w:t>若所後父母已死不得改立後</w:t>
      </w:r>
      <w:r w:rsidRPr="00635264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, </w:t>
      </w:r>
      <w:r w:rsidRPr="00635264">
        <w:rPr>
          <w:rFonts w:ascii="宋体" w:eastAsia="宋体" w:hAnsi="宋体" w:cs="Times New Roman" w:hint="eastAsia"/>
          <w:color w:val="0000FF"/>
          <w:sz w:val="22"/>
          <w:szCs w:val="22"/>
          <w:lang w:eastAsia="ko-KR"/>
        </w:rPr>
        <w:t>則從旁親班祔例</w:t>
      </w:r>
      <w:r w:rsidRPr="00635264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, </w:t>
      </w:r>
      <w:r w:rsidRPr="00635264">
        <w:rPr>
          <w:rFonts w:ascii="宋体" w:eastAsia="宋体" w:hAnsi="宋体" w:cs="Times New Roman" w:hint="eastAsia"/>
          <w:color w:val="0000FF"/>
          <w:sz w:val="22"/>
          <w:szCs w:val="22"/>
          <w:lang w:eastAsia="ko-KR"/>
        </w:rPr>
        <w:t>權奉其神主</w:t>
      </w:r>
      <w:r w:rsidRPr="00635264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, </w:t>
      </w:r>
      <w:r w:rsidRPr="00635264">
        <w:rPr>
          <w:rFonts w:ascii="宋体" w:eastAsia="宋体" w:hAnsi="宋体" w:cs="Times New Roman" w:hint="eastAsia"/>
          <w:color w:val="0000FF"/>
          <w:sz w:val="22"/>
          <w:szCs w:val="22"/>
          <w:lang w:eastAsia="ko-KR"/>
        </w:rPr>
        <w:t>俾不絶祀。</w:t>
      </w:r>
    </w:p>
    <w:p w14:paraId="31A6527A" w14:textId="10F40487" w:rsidR="00F3663B" w:rsidRDefault="00F3663B" w:rsidP="00A2189B">
      <w:pPr>
        <w:wordWrap w:val="0"/>
        <w:jc w:val="both"/>
        <w:rPr>
          <w:rFonts w:ascii="宋体" w:eastAsia="宋体" w:hAnsi="宋体" w:cs="Times New Roman"/>
          <w:sz w:val="28"/>
          <w:szCs w:val="28"/>
          <w:lang w:eastAsia="ko-KR"/>
        </w:rPr>
      </w:pPr>
      <w:r w:rsidRPr="00F3663B">
        <w:rPr>
          <w:rFonts w:ascii="宋体" w:eastAsia="宋体" w:hAnsi="宋体" w:cs="Times New Roman" w:hint="eastAsia"/>
          <w:sz w:val="28"/>
          <w:szCs w:val="28"/>
          <w:lang w:eastAsia="ko-KR"/>
        </w:rPr>
        <w:t>○</w:t>
      </w:r>
      <w:r w:rsidRPr="00F3663B">
        <w:rPr>
          <w:rFonts w:ascii="宋体" w:eastAsia="宋体" w:hAnsi="宋体" w:cs="Times New Roman"/>
          <w:sz w:val="28"/>
          <w:szCs w:val="28"/>
          <w:lang w:eastAsia="ko-KR"/>
        </w:rPr>
        <w:t xml:space="preserve"> </w:t>
      </w:r>
      <w:r w:rsidRPr="00F3663B">
        <w:rPr>
          <w:rFonts w:ascii="宋体" w:eastAsia="宋体" w:hAnsi="宋体" w:cs="Times New Roman" w:hint="eastAsia"/>
          <w:sz w:val="28"/>
          <w:szCs w:val="28"/>
          <w:lang w:eastAsia="ko-KR"/>
        </w:rPr>
        <w:t>駙馬無子者</w:t>
      </w:r>
      <w:r w:rsidRPr="00F3663B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F3663B">
        <w:rPr>
          <w:rFonts w:ascii="宋体" w:eastAsia="宋体" w:hAnsi="宋体" w:cs="Times New Roman" w:hint="eastAsia"/>
          <w:sz w:val="28"/>
          <w:szCs w:val="28"/>
          <w:lang w:eastAsia="ko-KR"/>
        </w:rPr>
        <w:t>同宗支子</w:t>
      </w:r>
      <w:r w:rsidRPr="00F3663B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F3663B">
        <w:rPr>
          <w:rFonts w:ascii="宋体" w:eastAsia="宋体" w:hAnsi="宋体" w:cs="Times New Roman" w:hint="eastAsia"/>
          <w:sz w:val="28"/>
          <w:szCs w:val="28"/>
          <w:lang w:eastAsia="ko-KR"/>
        </w:rPr>
        <w:t>立以爲後</w:t>
      </w:r>
      <w:r w:rsidRPr="00F3663B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F3663B">
        <w:rPr>
          <w:rFonts w:ascii="宋体" w:eastAsia="宋体" w:hAnsi="宋体" w:cs="Times New Roman" w:hint="eastAsia"/>
          <w:sz w:val="28"/>
          <w:szCs w:val="28"/>
          <w:lang w:eastAsia="ko-KR"/>
        </w:rPr>
        <w:t>勿令再娶。</w:t>
      </w:r>
    </w:p>
    <w:p w14:paraId="4DD94443" w14:textId="7858934E" w:rsidR="00F3663B" w:rsidRPr="00F3663B" w:rsidRDefault="00F3663B" w:rsidP="00A2189B">
      <w:pPr>
        <w:wordWrap w:val="0"/>
        <w:jc w:val="both"/>
        <w:rPr>
          <w:rFonts w:ascii="宋体" w:eastAsia="宋体" w:hAnsi="宋体" w:cs="Times New Roman"/>
          <w:sz w:val="28"/>
          <w:szCs w:val="28"/>
          <w:lang w:eastAsia="ko-KR"/>
        </w:rPr>
      </w:pPr>
      <w:r w:rsidRPr="00F3663B">
        <w:rPr>
          <w:rFonts w:ascii="宋体" w:eastAsia="宋体" w:hAnsi="宋体" w:cs="Times New Roman" w:hint="eastAsia"/>
          <w:sz w:val="28"/>
          <w:szCs w:val="28"/>
          <w:lang w:eastAsia="ko-KR"/>
        </w:rPr>
        <w:t>○</w:t>
      </w:r>
      <w:r w:rsidRPr="00635264">
        <w:rPr>
          <w:rFonts w:ascii="Menlo Regular" w:eastAsia="宋体" w:hAnsi="Menlo Regular" w:cs="Menlo Regular"/>
          <w:b/>
          <w:iCs/>
          <w:sz w:val="28"/>
          <w:szCs w:val="28"/>
          <w:lang w:eastAsia="ko-KR"/>
        </w:rPr>
        <w:t>❮</w:t>
      </w:r>
      <w:r w:rsidRPr="00F3663B">
        <w:rPr>
          <w:rFonts w:ascii="宋体" w:eastAsia="宋体" w:hAnsi="宋体" w:cs="Times New Roman" w:hint="eastAsia"/>
          <w:sz w:val="28"/>
          <w:szCs w:val="28"/>
          <w:lang w:eastAsia="ko-KR"/>
        </w:rPr>
        <w:t>補</w:t>
      </w:r>
      <w:r w:rsidRPr="00635264">
        <w:rPr>
          <w:rFonts w:ascii="Menlo Regular" w:eastAsia="宋体" w:hAnsi="Menlo Regular" w:cs="Menlo Regular"/>
          <w:b/>
          <w:iCs/>
          <w:sz w:val="28"/>
          <w:szCs w:val="28"/>
          <w:lang w:eastAsia="ko-KR"/>
        </w:rPr>
        <w:t>❯</w:t>
      </w:r>
      <w:r>
        <w:rPr>
          <w:rFonts w:ascii="Menlo Regular" w:eastAsia="宋体" w:hAnsi="Menlo Regular" w:cs="Menlo Regular"/>
          <w:b/>
          <w:iCs/>
          <w:sz w:val="28"/>
          <w:szCs w:val="28"/>
          <w:lang w:eastAsia="ko-KR"/>
        </w:rPr>
        <w:t xml:space="preserve"> </w:t>
      </w:r>
      <w:r w:rsidRPr="00F3663B">
        <w:rPr>
          <w:rFonts w:ascii="宋体" w:eastAsia="宋体" w:hAnsi="宋体" w:cs="Times New Roman" w:hint="eastAsia"/>
          <w:sz w:val="28"/>
          <w:szCs w:val="28"/>
          <w:lang w:eastAsia="ko-KR"/>
        </w:rPr>
        <w:t>每式年成籍時及科擧出榜後</w:t>
      </w:r>
      <w:r w:rsidRPr="00F3663B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F3663B">
        <w:rPr>
          <w:rFonts w:ascii="宋体" w:eastAsia="宋体" w:hAnsi="宋体" w:cs="Times New Roman" w:hint="eastAsia"/>
          <w:sz w:val="28"/>
          <w:szCs w:val="28"/>
          <w:lang w:eastAsia="ko-KR"/>
        </w:rPr>
        <w:t>考較本曹文書</w:t>
      </w:r>
      <w:r w:rsidRPr="00F3663B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F3663B">
        <w:rPr>
          <w:rFonts w:ascii="宋体" w:eastAsia="宋体" w:hAnsi="宋体" w:cs="Times New Roman" w:hint="eastAsia"/>
          <w:sz w:val="28"/>
          <w:szCs w:val="28"/>
          <w:lang w:eastAsia="ko-KR"/>
        </w:rPr>
        <w:t>私自立後者論罪</w:t>
      </w:r>
      <w:r w:rsidRPr="00F3663B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F3663B">
        <w:rPr>
          <w:rFonts w:ascii="宋体" w:eastAsia="宋体" w:hAnsi="宋体" w:cs="Times New Roman" w:hint="eastAsia"/>
          <w:sz w:val="28"/>
          <w:szCs w:val="28"/>
          <w:lang w:eastAsia="ko-KR"/>
        </w:rPr>
        <w:t>帳藉勿施</w:t>
      </w:r>
      <w:r w:rsidRPr="00F3663B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F3663B">
        <w:rPr>
          <w:rFonts w:ascii="宋体" w:eastAsia="宋体" w:hAnsi="宋体" w:cs="Times New Roman" w:hint="eastAsia"/>
          <w:sz w:val="28"/>
          <w:szCs w:val="28"/>
          <w:lang w:eastAsia="ko-KR"/>
        </w:rPr>
        <w:t>科榜拔去。</w:t>
      </w:r>
    </w:p>
    <w:p w14:paraId="4744774A" w14:textId="77777777" w:rsidR="00A2189B" w:rsidRDefault="00A2189B" w:rsidP="006C32FC">
      <w:pPr>
        <w:wordWrap w:val="0"/>
        <w:jc w:val="both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28A13A8F" w14:textId="77777777" w:rsidR="006C32FC" w:rsidRDefault="006C32FC" w:rsidP="006C32FC">
      <w:pPr>
        <w:wordWrap w:val="0"/>
        <w:jc w:val="both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4C505046" w14:textId="77777777" w:rsidR="006C32FC" w:rsidRDefault="006C32FC" w:rsidP="006C32FC">
      <w:pPr>
        <w:wordWrap w:val="0"/>
        <w:jc w:val="both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40245C7B" w14:textId="77777777" w:rsidR="006C32FC" w:rsidRDefault="006C32FC" w:rsidP="006C32FC">
      <w:pPr>
        <w:wordWrap w:val="0"/>
        <w:jc w:val="both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bookmarkStart w:id="0" w:name="_GoBack"/>
      <w:bookmarkEnd w:id="0"/>
    </w:p>
    <w:p w14:paraId="4DFCA65C" w14:textId="77777777" w:rsidR="006C32FC" w:rsidRPr="00641C8C" w:rsidRDefault="006C32FC" w:rsidP="006C32FC">
      <w:pPr>
        <w:wordWrap w:val="0"/>
        <w:jc w:val="both"/>
        <w:rPr>
          <w:rFonts w:ascii="宋体" w:eastAsia="宋体" w:hAnsi="宋体" w:cs="Libian TC Regular"/>
          <w:b/>
          <w:iCs/>
          <w:sz w:val="28"/>
          <w:szCs w:val="28"/>
          <w:lang w:eastAsia="ko-KR"/>
        </w:rPr>
      </w:pPr>
      <w:r w:rsidRPr="00641C8C">
        <w:rPr>
          <w:rFonts w:ascii="宋体" w:eastAsia="宋体" w:hAnsi="宋体" w:cs="Libian TC Regular"/>
          <w:b/>
          <w:iCs/>
          <w:sz w:val="28"/>
          <w:szCs w:val="28"/>
          <w:lang w:eastAsia="ko-KR"/>
        </w:rPr>
        <w:t>奉祀</w:t>
      </w:r>
    </w:p>
    <w:p w14:paraId="708702CB" w14:textId="39625145" w:rsidR="006C32FC" w:rsidRDefault="006C32FC" w:rsidP="006C32FC">
      <w:pPr>
        <w:wordWrap w:val="0"/>
        <w:jc w:val="both"/>
        <w:rPr>
          <w:rFonts w:ascii="宋体" w:eastAsia="宋体" w:hAnsi="宋体" w:cs="Libian TC Regular"/>
          <w:color w:val="0000FF"/>
          <w:sz w:val="22"/>
          <w:szCs w:val="22"/>
          <w:lang w:eastAsia="ko-KR"/>
        </w:rPr>
      </w:pP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文</w:t>
      </w:r>
      <w:r w:rsidRPr="00641C8C">
        <w:rPr>
          <w:rFonts w:ascii="宋体" w:eastAsia="宋体" w:hAnsi="宋体" w:cs="Times New Roman"/>
          <w:sz w:val="28"/>
          <w:szCs w:val="28"/>
          <w:lang w:eastAsia="ko-KR"/>
        </w:rPr>
        <w:t>·</w:t>
      </w: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武官六品以上</w:t>
      </w:r>
      <w:r w:rsidRPr="00641C8C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祭三代</w:t>
      </w:r>
      <w:r w:rsidRPr="00641C8C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七品以下</w:t>
      </w:r>
      <w:r w:rsidRPr="00641C8C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祭二代</w:t>
      </w:r>
      <w:r w:rsidRPr="00641C8C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庶人</w:t>
      </w:r>
      <w:r w:rsidRPr="00641C8C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則只祭考妣。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宗子秩卑</w:t>
      </w:r>
      <w:r w:rsidRPr="00641C8C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支子秩高</w:t>
      </w:r>
      <w:r w:rsidRPr="00641C8C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則代數從支子。</w:t>
      </w:r>
      <w:r w:rsidRPr="00641C8C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 ○ 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始爲功臣者</w:t>
      </w:r>
      <w:r w:rsidRPr="00641C8C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代雖盡</w:t>
      </w:r>
      <w:r w:rsidRPr="00641C8C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不遷</w:t>
      </w:r>
      <w:r w:rsidRPr="00641C8C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別立一室。</w:t>
      </w:r>
      <w:r w:rsidRPr="00641C8C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 ○ 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曾祖代盡當出</w:t>
      </w:r>
      <w:r w:rsidRPr="00641C8C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則就伯</w:t>
      </w:r>
      <w:r w:rsidRPr="00641C8C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>·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叔位服未盡者</w:t>
      </w:r>
      <w:r w:rsidRPr="00641C8C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祭之。</w:t>
      </w:r>
      <w:r w:rsidRPr="00641C8C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 ○ 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士大夫二妻以上</w:t>
      </w:r>
      <w:r w:rsidRPr="00641C8C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竝祔。</w:t>
      </w:r>
      <w:r w:rsidRPr="00857466">
        <w:rPr>
          <w:rFonts w:ascii="宋体" w:eastAsia="宋体" w:hAnsi="宋体" w:cs="Times New Roman"/>
          <w:lang w:eastAsia="ko-KR"/>
        </w:rPr>
        <w:t xml:space="preserve"> </w:t>
      </w: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若嫡長子無後</w:t>
      </w:r>
      <w:r w:rsidRPr="00641C8C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則衆子</w:t>
      </w:r>
      <w:r w:rsidRPr="00641C8C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衆子無後</w:t>
      </w:r>
      <w:r w:rsidRPr="00641C8C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則妾子奉祀。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嫡長子只有妾子願以弟之子爲後者</w:t>
      </w:r>
      <w:r w:rsidRPr="00641C8C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聽</w:t>
      </w:r>
      <w:r w:rsidRPr="00641C8C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欲自與妾子別爲一支</w:t>
      </w:r>
      <w:r w:rsidRPr="00641C8C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則亦聽。</w:t>
      </w:r>
      <w:r w:rsidRPr="00641C8C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 ○ 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良妾子無後</w:t>
      </w:r>
      <w:r w:rsidRPr="00641C8C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則賤妾子承重。</w:t>
      </w:r>
      <w:r w:rsidRPr="00641C8C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 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凡妾子承重者</w:t>
      </w:r>
      <w:r w:rsidRPr="00641C8C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祭其母於私室</w:t>
      </w:r>
      <w:r w:rsidRPr="00641C8C">
        <w:rPr>
          <w:rFonts w:ascii="宋体" w:eastAsia="宋体" w:hAnsi="宋体" w:cs="Times New Roman"/>
          <w:color w:val="0000FF"/>
          <w:sz w:val="22"/>
          <w:szCs w:val="22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>止其身。</w:t>
      </w:r>
    </w:p>
    <w:p w14:paraId="5F019C0D" w14:textId="56F325CF" w:rsidR="007614BE" w:rsidRDefault="007614BE" w:rsidP="006C32FC">
      <w:pPr>
        <w:wordWrap w:val="0"/>
        <w:jc w:val="both"/>
        <w:rPr>
          <w:rFonts w:ascii="宋体" w:eastAsia="宋体" w:hAnsi="宋体" w:cs="Libian TC Regular"/>
          <w:color w:val="0000FF"/>
          <w:sz w:val="22"/>
          <w:szCs w:val="22"/>
          <w:lang w:eastAsia="ko-KR"/>
        </w:rPr>
      </w:pPr>
      <w:r w:rsidRPr="007614BE">
        <w:rPr>
          <w:rFonts w:ascii="宋体" w:eastAsia="宋体" w:hAnsi="宋体" w:cs="Libian TC Regular" w:hint="eastAsia"/>
          <w:sz w:val="28"/>
          <w:szCs w:val="28"/>
          <w:lang w:eastAsia="ko-KR"/>
        </w:rPr>
        <w:t>○</w:t>
      </w:r>
      <w:r w:rsidRPr="007614BE">
        <w:rPr>
          <w:rFonts w:ascii="宋体" w:eastAsia="宋体" w:hAnsi="宋体" w:cs="Libian TC Regular"/>
          <w:sz w:val="28"/>
          <w:szCs w:val="28"/>
          <w:lang w:eastAsia="ko-KR"/>
        </w:rPr>
        <w:t xml:space="preserve"> </w:t>
      </w:r>
      <w:r w:rsidRPr="007614BE">
        <w:rPr>
          <w:rFonts w:ascii="宋体" w:eastAsia="宋体" w:hAnsi="宋体" w:cs="Libian TC Regular" w:hint="eastAsia"/>
          <w:sz w:val="28"/>
          <w:szCs w:val="28"/>
          <w:lang w:eastAsia="ko-KR"/>
        </w:rPr>
        <w:t>旁親之無後者</w:t>
      </w:r>
      <w:r w:rsidRPr="007614BE">
        <w:rPr>
          <w:rFonts w:ascii="宋体" w:eastAsia="宋体" w:hAnsi="宋体" w:cs="Libian TC Regular"/>
          <w:sz w:val="28"/>
          <w:szCs w:val="28"/>
          <w:lang w:eastAsia="ko-KR"/>
        </w:rPr>
        <w:t xml:space="preserve">, </w:t>
      </w:r>
      <w:r w:rsidRPr="007614BE">
        <w:rPr>
          <w:rFonts w:ascii="宋体" w:eastAsia="宋体" w:hAnsi="宋体" w:cs="Libian TC Regular" w:hint="eastAsia"/>
          <w:sz w:val="28"/>
          <w:szCs w:val="28"/>
          <w:lang w:eastAsia="ko-KR"/>
        </w:rPr>
        <w:t>祔祭。</w:t>
      </w:r>
      <w:r w:rsidRPr="007614BE">
        <w:rPr>
          <w:rFonts w:ascii="宋体" w:eastAsia="宋体" w:hAnsi="宋体" w:cs="Libian TC Regular" w:hint="eastAsia"/>
          <w:color w:val="0000FF"/>
          <w:sz w:val="22"/>
          <w:szCs w:val="22"/>
          <w:lang w:eastAsia="ko-KR"/>
        </w:rPr>
        <w:t>士大夫無子女欲以奴婢·墓直主祭者</w:t>
      </w:r>
      <w:r w:rsidRPr="007614BE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 xml:space="preserve">, </w:t>
      </w:r>
      <w:r w:rsidRPr="007614BE">
        <w:rPr>
          <w:rFonts w:ascii="宋体" w:eastAsia="宋体" w:hAnsi="宋体" w:cs="Libian TC Regular" w:hint="eastAsia"/>
          <w:color w:val="0000FF"/>
          <w:sz w:val="22"/>
          <w:szCs w:val="22"/>
          <w:lang w:eastAsia="ko-KR"/>
        </w:rPr>
        <w:t>從財主之意</w:t>
      </w:r>
      <w:r w:rsidRPr="007614BE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 xml:space="preserve">, </w:t>
      </w:r>
      <w:r w:rsidRPr="007614BE">
        <w:rPr>
          <w:rFonts w:ascii="宋体" w:eastAsia="宋体" w:hAnsi="宋体" w:cs="Libian TC Regular" w:hint="eastAsia"/>
          <w:color w:val="0000FF"/>
          <w:sz w:val="22"/>
          <w:szCs w:val="22"/>
          <w:lang w:eastAsia="ko-KR"/>
        </w:rPr>
        <w:t>署文記</w:t>
      </w:r>
      <w:r w:rsidRPr="007614BE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 xml:space="preserve">, </w:t>
      </w:r>
      <w:r w:rsidRPr="007614BE">
        <w:rPr>
          <w:rFonts w:ascii="宋体" w:eastAsia="宋体" w:hAnsi="宋体" w:cs="Libian TC Regular" w:hint="eastAsia"/>
          <w:color w:val="0000FF"/>
          <w:sz w:val="22"/>
          <w:szCs w:val="22"/>
          <w:lang w:eastAsia="ko-KR"/>
        </w:rPr>
        <w:t>使奉其祀</w:t>
      </w:r>
      <w:r w:rsidRPr="007614BE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 xml:space="preserve">, </w:t>
      </w:r>
      <w:r w:rsidRPr="007614BE">
        <w:rPr>
          <w:rFonts w:ascii="宋体" w:eastAsia="宋体" w:hAnsi="宋体" w:cs="Libian TC Regular" w:hint="eastAsia"/>
          <w:color w:val="0000FF"/>
          <w:sz w:val="22"/>
          <w:szCs w:val="22"/>
          <w:lang w:eastAsia="ko-KR"/>
        </w:rPr>
        <w:t>大夫六口</w:t>
      </w:r>
      <w:r w:rsidRPr="007614BE">
        <w:rPr>
          <w:rFonts w:ascii="宋体" w:eastAsia="宋体" w:hAnsi="宋体" w:cs="Libian TC Regular"/>
          <w:color w:val="0000FF"/>
          <w:sz w:val="22"/>
          <w:szCs w:val="22"/>
          <w:lang w:eastAsia="ko-KR"/>
        </w:rPr>
        <w:t xml:space="preserve">, </w:t>
      </w:r>
      <w:r w:rsidRPr="007614BE">
        <w:rPr>
          <w:rFonts w:ascii="宋体" w:eastAsia="宋体" w:hAnsi="宋体" w:cs="Libian TC Regular" w:hint="eastAsia"/>
          <w:color w:val="0000FF"/>
          <w:sz w:val="22"/>
          <w:szCs w:val="22"/>
          <w:lang w:eastAsia="ko-KR"/>
        </w:rPr>
        <w:t>士以下四口。</w:t>
      </w:r>
    </w:p>
    <w:p w14:paraId="61036DC6" w14:textId="70D139B3" w:rsidR="007614BE" w:rsidRDefault="007614BE" w:rsidP="006C32FC">
      <w:pPr>
        <w:wordWrap w:val="0"/>
        <w:jc w:val="both"/>
        <w:rPr>
          <w:rFonts w:ascii="宋体" w:eastAsia="宋体" w:hAnsi="宋体" w:cs="Libian TC Regular"/>
          <w:color w:val="0000FF"/>
          <w:sz w:val="22"/>
          <w:szCs w:val="22"/>
          <w:lang w:eastAsia="ko-KR"/>
        </w:rPr>
      </w:pPr>
      <w:r w:rsidRPr="007614BE">
        <w:rPr>
          <w:rFonts w:ascii="宋体" w:eastAsia="宋体" w:hAnsi="宋体" w:cs="Times New Roman" w:hint="eastAsia"/>
          <w:sz w:val="28"/>
          <w:szCs w:val="28"/>
          <w:lang w:eastAsia="ko-KR"/>
        </w:rPr>
        <w:t>○</w:t>
      </w:r>
      <w:r w:rsidRPr="007614BE">
        <w:rPr>
          <w:rFonts w:ascii="Menlo Regular" w:eastAsia="宋体" w:hAnsi="Menlo Regular" w:cs="Menlo Regular"/>
          <w:b/>
          <w:iCs/>
          <w:sz w:val="28"/>
          <w:szCs w:val="28"/>
          <w:lang w:eastAsia="ko-KR"/>
        </w:rPr>
        <w:t>❮</w:t>
      </w:r>
      <w:r w:rsidRPr="007614BE">
        <w:rPr>
          <w:rFonts w:ascii="宋体" w:eastAsia="宋体" w:hAnsi="宋体" w:cs="Libian TC Regular" w:hint="eastAsia"/>
          <w:sz w:val="28"/>
          <w:szCs w:val="28"/>
          <w:lang w:eastAsia="ko-KR"/>
        </w:rPr>
        <w:t>續</w:t>
      </w:r>
      <w:r w:rsidRPr="007614BE">
        <w:rPr>
          <w:rFonts w:ascii="Menlo Regular" w:eastAsia="宋体" w:hAnsi="Menlo Regular" w:cs="Menlo Regular"/>
          <w:b/>
          <w:iCs/>
          <w:sz w:val="28"/>
          <w:szCs w:val="28"/>
          <w:lang w:eastAsia="ko-KR"/>
        </w:rPr>
        <w:t>❯</w:t>
      </w:r>
      <w:r w:rsidRPr="007614BE">
        <w:rPr>
          <w:rFonts w:ascii="宋体" w:eastAsia="宋体" w:hAnsi="宋体" w:cs="Libian TC Regular" w:hint="eastAsia"/>
          <w:sz w:val="28"/>
          <w:szCs w:val="28"/>
          <w:lang w:eastAsia="ko-KR"/>
        </w:rPr>
        <w:t>長子死無後, 更立他子奉祀, 則長子之婦, 毋得以冢婦論。</w:t>
      </w:r>
      <w:r w:rsidRPr="007614BE">
        <w:rPr>
          <w:rFonts w:ascii="宋体" w:eastAsia="宋体" w:hAnsi="宋体" w:cs="Libian TC Regular" w:hint="eastAsia"/>
          <w:color w:val="0000FF"/>
          <w:sz w:val="22"/>
          <w:szCs w:val="22"/>
          <w:lang w:eastAsia="ko-KR"/>
        </w:rPr>
        <w:t>田民, 依衆子例分給, 立廟家舍, 傳給於主祭子孫, 而擅賣者, 禁斷。</w:t>
      </w:r>
    </w:p>
    <w:p w14:paraId="74CF8A74" w14:textId="71D4FAE2" w:rsidR="007614BE" w:rsidRPr="007614BE" w:rsidRDefault="007614BE" w:rsidP="006C32FC">
      <w:pPr>
        <w:wordWrap w:val="0"/>
        <w:jc w:val="both"/>
        <w:rPr>
          <w:rFonts w:ascii="宋体" w:eastAsia="宋体" w:hAnsi="宋体" w:cs="Libian TC Regular"/>
          <w:sz w:val="28"/>
          <w:szCs w:val="28"/>
          <w:lang w:eastAsia="ko-KR"/>
        </w:rPr>
      </w:pPr>
      <w:r w:rsidRPr="007614BE">
        <w:rPr>
          <w:rFonts w:ascii="宋体" w:eastAsia="宋体" w:hAnsi="宋体" w:cs="Libian TC Regular" w:hint="eastAsia"/>
          <w:sz w:val="28"/>
          <w:szCs w:val="28"/>
          <w:lang w:eastAsia="ko-KR"/>
        </w:rPr>
        <w:t>○</w:t>
      </w:r>
      <w:r w:rsidRPr="007614BE">
        <w:rPr>
          <w:rFonts w:ascii="宋体" w:eastAsia="宋体" w:hAnsi="宋体" w:cs="Libian TC Regular"/>
          <w:sz w:val="28"/>
          <w:szCs w:val="28"/>
          <w:lang w:eastAsia="ko-KR"/>
        </w:rPr>
        <w:t xml:space="preserve"> </w:t>
      </w:r>
      <w:r w:rsidRPr="007614BE">
        <w:rPr>
          <w:rFonts w:ascii="宋体" w:eastAsia="宋体" w:hAnsi="宋体" w:cs="Libian TC Regular" w:hint="eastAsia"/>
          <w:sz w:val="28"/>
          <w:szCs w:val="28"/>
          <w:lang w:eastAsia="ko-KR"/>
        </w:rPr>
        <w:t>凡無子立後者</w:t>
      </w:r>
      <w:r w:rsidRPr="007614BE">
        <w:rPr>
          <w:rFonts w:ascii="宋体" w:eastAsia="宋体" w:hAnsi="宋体" w:cs="Libian TC Regular"/>
          <w:sz w:val="28"/>
          <w:szCs w:val="28"/>
          <w:lang w:eastAsia="ko-KR"/>
        </w:rPr>
        <w:t xml:space="preserve">, </w:t>
      </w:r>
      <w:r w:rsidRPr="007614BE">
        <w:rPr>
          <w:rFonts w:ascii="宋体" w:eastAsia="宋体" w:hAnsi="宋体" w:cs="Libian TC Regular" w:hint="eastAsia"/>
          <w:sz w:val="28"/>
          <w:szCs w:val="28"/>
          <w:lang w:eastAsia="ko-KR"/>
        </w:rPr>
        <w:t>旣已呈出立案</w:t>
      </w:r>
      <w:r w:rsidRPr="007614BE">
        <w:rPr>
          <w:rFonts w:ascii="宋体" w:eastAsia="宋体" w:hAnsi="宋体" w:cs="Libian TC Regular"/>
          <w:sz w:val="28"/>
          <w:szCs w:val="28"/>
          <w:lang w:eastAsia="ko-KR"/>
        </w:rPr>
        <w:t xml:space="preserve">, </w:t>
      </w:r>
      <w:r w:rsidRPr="007614BE">
        <w:rPr>
          <w:rFonts w:ascii="宋体" w:eastAsia="宋体" w:hAnsi="宋体" w:cs="Libian TC Regular" w:hint="eastAsia"/>
          <w:sz w:val="28"/>
          <w:szCs w:val="28"/>
          <w:lang w:eastAsia="ko-KR"/>
        </w:rPr>
        <w:t>雖或生子</w:t>
      </w:r>
      <w:r w:rsidRPr="007614BE">
        <w:rPr>
          <w:rFonts w:ascii="宋体" w:eastAsia="宋体" w:hAnsi="宋体" w:cs="Libian TC Regular"/>
          <w:sz w:val="28"/>
          <w:szCs w:val="28"/>
          <w:lang w:eastAsia="ko-KR"/>
        </w:rPr>
        <w:t xml:space="preserve">, </w:t>
      </w:r>
      <w:r w:rsidRPr="007614BE">
        <w:rPr>
          <w:rFonts w:ascii="宋体" w:eastAsia="宋体" w:hAnsi="宋体" w:cs="Libian TC Regular" w:hint="eastAsia"/>
          <w:sz w:val="28"/>
          <w:szCs w:val="28"/>
          <w:lang w:eastAsia="ko-KR"/>
        </w:rPr>
        <w:t>當爲第二子</w:t>
      </w:r>
      <w:r w:rsidRPr="007614BE">
        <w:rPr>
          <w:rFonts w:ascii="宋体" w:eastAsia="宋体" w:hAnsi="宋体" w:cs="Libian TC Regular"/>
          <w:sz w:val="28"/>
          <w:szCs w:val="28"/>
          <w:lang w:eastAsia="ko-KR"/>
        </w:rPr>
        <w:t xml:space="preserve">, </w:t>
      </w:r>
      <w:r w:rsidRPr="007614BE">
        <w:rPr>
          <w:rFonts w:ascii="宋体" w:eastAsia="宋体" w:hAnsi="宋体" w:cs="Libian TC Regular" w:hint="eastAsia"/>
          <w:sz w:val="28"/>
          <w:szCs w:val="28"/>
          <w:lang w:eastAsia="ko-KR"/>
        </w:rPr>
        <w:t>以立後者奉祀。</w:t>
      </w:r>
    </w:p>
    <w:p w14:paraId="06830AC1" w14:textId="77777777" w:rsidR="006C32FC" w:rsidRPr="006C32FC" w:rsidRDefault="006C32FC" w:rsidP="006C32FC">
      <w:pPr>
        <w:wordWrap w:val="0"/>
        <w:jc w:val="both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6C403BE4" w14:textId="77777777" w:rsidR="006C7D0D" w:rsidRDefault="006C7D0D"/>
    <w:sectPr w:rsidR="006C7D0D" w:rsidSect="005A73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ibian TC Regular">
    <w:panose1 w:val="02010600040101010101"/>
    <w:charset w:val="00"/>
    <w:family w:val="auto"/>
    <w:pitch w:val="variable"/>
    <w:sig w:usb0="80000287" w:usb1="280F3C52" w:usb2="00000016" w:usb3="00000000" w:csb0="0004001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7075"/>
    <w:multiLevelType w:val="multilevel"/>
    <w:tmpl w:val="138A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FC"/>
    <w:rsid w:val="0028613B"/>
    <w:rsid w:val="005A739A"/>
    <w:rsid w:val="00635264"/>
    <w:rsid w:val="006C32FC"/>
    <w:rsid w:val="006C7D0D"/>
    <w:rsid w:val="007614BE"/>
    <w:rsid w:val="008A667E"/>
    <w:rsid w:val="00A2189B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761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C32F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C3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C32F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C3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699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LCAO LCAO</dc:creator>
  <cp:keywords/>
  <dc:description/>
  <cp:lastModifiedBy>LCAO LCAO</cp:lastModifiedBy>
  <cp:revision>4</cp:revision>
  <dcterms:created xsi:type="dcterms:W3CDTF">2020-02-11T08:53:00Z</dcterms:created>
  <dcterms:modified xsi:type="dcterms:W3CDTF">2020-02-11T09:33:00Z</dcterms:modified>
</cp:coreProperties>
</file>