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3A" w:rsidRPr="0081183A" w:rsidRDefault="0081183A" w:rsidP="0081183A">
      <w:pPr>
        <w:ind w:left="1230"/>
        <w:rPr>
          <w:lang w:eastAsia="zh-TW"/>
        </w:rPr>
      </w:pPr>
      <w:r w:rsidRPr="0081183A">
        <w:fldChar w:fldCharType="begin"/>
      </w:r>
      <w:r w:rsidRPr="0081183A">
        <w:rPr>
          <w:lang w:eastAsia="zh-TW"/>
        </w:rPr>
        <w:instrText xml:space="preserve"> HYPERLINK "http://lsc.chineselegalculture.org/eC/DQLL_1740/5.3.3.111" </w:instrText>
      </w:r>
      <w:r w:rsidRPr="0081183A">
        <w:fldChar w:fldCharType="separate"/>
      </w:r>
      <w:r w:rsidRPr="0081183A">
        <w:rPr>
          <w:rFonts w:ascii="MS Mincho" w:eastAsia="MS Mincho" w:hAnsi="MS Mincho" w:cs="MS Mincho" w:hint="eastAsia"/>
          <w:color w:val="0000FF"/>
          <w:u w:val="single"/>
          <w:lang w:eastAsia="zh-TW"/>
        </w:rPr>
        <w:t>律</w:t>
      </w:r>
      <w:r w:rsidRPr="0081183A">
        <w:rPr>
          <w:color w:val="0000FF"/>
          <w:u w:val="single"/>
          <w:lang w:eastAsia="zh-TW"/>
        </w:rPr>
        <w:t>/</w:t>
      </w:r>
      <w:proofErr w:type="spellStart"/>
      <w:r w:rsidRPr="0081183A">
        <w:rPr>
          <w:color w:val="0000FF"/>
          <w:u w:val="single"/>
          <w:lang w:eastAsia="zh-TW"/>
        </w:rPr>
        <w:t>lü</w:t>
      </w:r>
      <w:proofErr w:type="spellEnd"/>
      <w:r w:rsidRPr="0081183A">
        <w:rPr>
          <w:color w:val="0000FF"/>
          <w:u w:val="single"/>
          <w:lang w:eastAsia="zh-TW"/>
        </w:rPr>
        <w:t xml:space="preserve"> 111 | </w:t>
      </w:r>
      <w:proofErr w:type="spellStart"/>
      <w:r w:rsidRPr="0081183A">
        <w:rPr>
          <w:color w:val="0000FF"/>
          <w:u w:val="single"/>
          <w:lang w:eastAsia="zh-TW"/>
        </w:rPr>
        <w:t>Qu</w:t>
      </w:r>
      <w:proofErr w:type="spellEnd"/>
      <w:r w:rsidRPr="0081183A">
        <w:rPr>
          <w:color w:val="0000FF"/>
          <w:u w:val="single"/>
          <w:lang w:eastAsia="zh-TW"/>
        </w:rPr>
        <w:t xml:space="preserve"> </w:t>
      </w:r>
      <w:proofErr w:type="spellStart"/>
      <w:r w:rsidRPr="0081183A">
        <w:rPr>
          <w:color w:val="0000FF"/>
          <w:u w:val="single"/>
          <w:lang w:eastAsia="zh-TW"/>
        </w:rPr>
        <w:t>taozou</w:t>
      </w:r>
      <w:proofErr w:type="spellEnd"/>
      <w:r w:rsidRPr="0081183A">
        <w:rPr>
          <w:color w:val="0000FF"/>
          <w:u w:val="single"/>
          <w:lang w:eastAsia="zh-TW"/>
        </w:rPr>
        <w:t xml:space="preserve"> </w:t>
      </w:r>
      <w:proofErr w:type="spellStart"/>
      <w:r w:rsidRPr="0081183A">
        <w:rPr>
          <w:color w:val="0000FF"/>
          <w:u w:val="single"/>
          <w:lang w:eastAsia="zh-TW"/>
        </w:rPr>
        <w:t>funü</w:t>
      </w:r>
      <w:proofErr w:type="spellEnd"/>
      <w:r w:rsidRPr="0081183A">
        <w:rPr>
          <w:color w:val="0000FF"/>
          <w:u w:val="single"/>
          <w:lang w:eastAsia="zh-TW"/>
        </w:rPr>
        <w:t xml:space="preserve"> </w:t>
      </w:r>
      <w:r w:rsidRPr="0081183A">
        <w:rPr>
          <w:rFonts w:ascii="MS Mincho" w:eastAsia="MS Mincho" w:hAnsi="MS Mincho" w:cs="MS Mincho" w:hint="eastAsia"/>
          <w:color w:val="0000FF"/>
          <w:u w:val="single"/>
          <w:lang w:eastAsia="zh-TW"/>
        </w:rPr>
        <w:t>娶逃走婦女</w:t>
      </w:r>
      <w:r w:rsidRPr="0081183A">
        <w:fldChar w:fldCharType="end"/>
      </w:r>
    </w:p>
    <w:p w:rsidR="0081183A" w:rsidRDefault="0081183A" w:rsidP="0081183A">
      <w:pPr>
        <w:rPr>
          <w:rFonts w:ascii="MS Mincho" w:eastAsia="MS Mincho" w:hAnsi="MS Mincho" w:cs="MS Mincho"/>
          <w:color w:val="3370FF"/>
          <w:sz w:val="21"/>
          <w:szCs w:val="21"/>
          <w:lang w:eastAsia="zh-TW"/>
        </w:rPr>
      </w:pPr>
      <w:r w:rsidRPr="0081183A">
        <w:rPr>
          <w:rFonts w:ascii="MS Mincho" w:eastAsia="MS Mincho" w:hAnsi="MS Mincho" w:cs="MS Mincho" w:hint="eastAsia"/>
          <w:lang w:eastAsia="zh-TW"/>
        </w:rPr>
        <w:t>凡娶</w:t>
      </w:r>
      <w:r w:rsidRPr="0081183A">
        <w:rPr>
          <w:rFonts w:ascii="MS Mincho" w:eastAsia="MS Mincho" w:hAnsi="MS Mincho" w:cs="MS Mincho" w:hint="eastAsia"/>
          <w:color w:val="3370FF"/>
          <w:sz w:val="21"/>
          <w:szCs w:val="21"/>
          <w:lang w:eastAsia="zh-TW"/>
        </w:rPr>
        <w:t>自己</w:t>
      </w:r>
      <w:r w:rsidRPr="0081183A">
        <w:rPr>
          <w:rFonts w:ascii="MS Mincho" w:eastAsia="MS Mincho" w:hAnsi="MS Mincho" w:cs="MS Mincho" w:hint="eastAsia"/>
          <w:lang w:eastAsia="zh-TW"/>
        </w:rPr>
        <w:t>犯罪</w:t>
      </w:r>
      <w:r w:rsidRPr="0081183A">
        <w:rPr>
          <w:rFonts w:ascii="MS Mincho" w:eastAsia="MS Mincho" w:hAnsi="MS Mincho" w:cs="MS Mincho" w:hint="eastAsia"/>
          <w:color w:val="3370FF"/>
          <w:sz w:val="21"/>
          <w:szCs w:val="21"/>
          <w:lang w:eastAsia="zh-TW"/>
        </w:rPr>
        <w:t>已發在官而</w:t>
      </w:r>
      <w:r w:rsidRPr="0081183A">
        <w:rPr>
          <w:rFonts w:ascii="MS Mincho" w:eastAsia="MS Mincho" w:hAnsi="MS Mincho" w:cs="MS Mincho" w:hint="eastAsia"/>
          <w:lang w:eastAsia="zh-TW"/>
        </w:rPr>
        <w:t>逃走</w:t>
      </w:r>
      <w:r w:rsidRPr="0081183A">
        <w:rPr>
          <w:rFonts w:ascii="MS Mincho" w:eastAsia="MS Mincho" w:hAnsi="MS Mincho" w:cs="MS Mincho" w:hint="eastAsia"/>
          <w:color w:val="3370FF"/>
          <w:sz w:val="21"/>
          <w:szCs w:val="21"/>
          <w:lang w:eastAsia="zh-TW"/>
        </w:rPr>
        <w:t>在外之</w:t>
      </w:r>
      <w:r w:rsidRPr="0081183A">
        <w:rPr>
          <w:rFonts w:ascii="MS Mincho" w:eastAsia="MS Mincho" w:hAnsi="MS Mincho" w:cs="MS Mincho" w:hint="eastAsia"/>
          <w:lang w:eastAsia="zh-TW"/>
        </w:rPr>
        <w:t>婦女為妻妾，知</w:t>
      </w:r>
      <w:r w:rsidRPr="0081183A">
        <w:rPr>
          <w:rFonts w:ascii="MS Mincho" w:eastAsia="MS Mincho" w:hAnsi="MS Mincho" w:cs="MS Mincho" w:hint="eastAsia"/>
          <w:color w:val="3370FF"/>
          <w:sz w:val="21"/>
          <w:szCs w:val="21"/>
          <w:lang w:eastAsia="zh-TW"/>
        </w:rPr>
        <w:t>逃走之</w:t>
      </w:r>
      <w:r w:rsidRPr="0081183A">
        <w:rPr>
          <w:rFonts w:ascii="MS Mincho" w:eastAsia="MS Mincho" w:hAnsi="MS Mincho" w:cs="MS Mincho" w:hint="eastAsia"/>
          <w:lang w:eastAsia="zh-TW"/>
        </w:rPr>
        <w:t>情者，與同</w:t>
      </w:r>
      <w:r w:rsidRPr="0081183A">
        <w:rPr>
          <w:rFonts w:ascii="MS Mincho" w:eastAsia="MS Mincho" w:hAnsi="MS Mincho" w:cs="MS Mincho" w:hint="eastAsia"/>
          <w:color w:val="3370FF"/>
          <w:sz w:val="21"/>
          <w:szCs w:val="21"/>
          <w:lang w:eastAsia="zh-TW"/>
        </w:rPr>
        <w:t>其所犯之本</w:t>
      </w:r>
      <w:r w:rsidRPr="0081183A">
        <w:rPr>
          <w:rFonts w:ascii="MS Mincho" w:eastAsia="MS Mincho" w:hAnsi="MS Mincho" w:cs="MS Mincho" w:hint="eastAsia"/>
          <w:lang w:eastAsia="zh-TW"/>
        </w:rPr>
        <w:t>罪。</w:t>
      </w:r>
      <w:r w:rsidRPr="0081183A">
        <w:rPr>
          <w:rFonts w:ascii="MS Mincho" w:eastAsia="MS Mincho" w:hAnsi="MS Mincho" w:cs="MS Mincho" w:hint="eastAsia"/>
          <w:color w:val="3370FF"/>
          <w:sz w:val="21"/>
          <w:szCs w:val="21"/>
          <w:lang w:eastAsia="zh-TW"/>
        </w:rPr>
        <w:t>婦人加逃罪二等，其娶者不加罪。</w:t>
      </w:r>
      <w:r w:rsidRPr="0081183A">
        <w:rPr>
          <w:rFonts w:ascii="MS Mincho" w:eastAsia="MS Mincho" w:hAnsi="MS Mincho" w:cs="MS Mincho" w:hint="eastAsia"/>
          <w:lang w:eastAsia="zh-TW"/>
        </w:rPr>
        <w:t>至死者，減一等。離異。不知者，不坐。</w:t>
      </w:r>
      <w:r w:rsidRPr="0081183A">
        <w:rPr>
          <w:rFonts w:ascii="MS Mincho" w:eastAsia="MS Mincho" w:hAnsi="MS Mincho" w:cs="MS Mincho" w:hint="eastAsia"/>
          <w:color w:val="FF0000"/>
          <w:lang w:eastAsia="zh-TW"/>
        </w:rPr>
        <w:t>若無夫</w:t>
      </w:r>
      <w:r w:rsidRPr="0081183A">
        <w:rPr>
          <w:rFonts w:ascii="MS Mincho" w:eastAsia="MS Mincho" w:hAnsi="MS Mincho" w:cs="MS Mincho" w:hint="eastAsia"/>
          <w:color w:val="3370FF"/>
          <w:sz w:val="21"/>
          <w:szCs w:val="21"/>
          <w:lang w:eastAsia="zh-TW"/>
        </w:rPr>
        <w:t>又</w:t>
      </w:r>
      <w:r w:rsidRPr="0081183A">
        <w:rPr>
          <w:rFonts w:ascii="MS Mincho" w:eastAsia="MS Mincho" w:hAnsi="MS Mincho" w:cs="MS Mincho" w:hint="eastAsia"/>
          <w:lang w:eastAsia="zh-TW"/>
        </w:rPr>
        <w:t>會赦免罪者，不離。</w:t>
      </w:r>
      <w:r w:rsidRPr="0081183A">
        <w:rPr>
          <w:rFonts w:ascii="MS Mincho" w:eastAsia="MS Mincho" w:hAnsi="MS Mincho" w:cs="MS Mincho" w:hint="eastAsia"/>
          <w:color w:val="3370FF"/>
          <w:sz w:val="21"/>
          <w:szCs w:val="21"/>
          <w:lang w:eastAsia="zh-TW"/>
        </w:rPr>
        <w:t>一有不合仍離</w:t>
      </w:r>
      <w:r w:rsidRPr="0081183A">
        <w:rPr>
          <w:rFonts w:ascii="MS Mincho" w:eastAsia="MS Mincho" w:hAnsi="MS Mincho" w:cs="MS Mincho"/>
          <w:color w:val="3370FF"/>
          <w:sz w:val="21"/>
          <w:szCs w:val="21"/>
          <w:lang w:eastAsia="zh-TW"/>
        </w:rPr>
        <w:t>。</w:t>
      </w:r>
    </w:p>
    <w:p w:rsidR="00E53F6B" w:rsidRDefault="00E53F6B" w:rsidP="0081183A">
      <w:pPr>
        <w:rPr>
          <w:lang w:eastAsia="zh-TW"/>
        </w:rPr>
      </w:pPr>
    </w:p>
    <w:p w:rsidR="00E53F6B" w:rsidRDefault="00E53F6B" w:rsidP="0081183A">
      <w:pPr>
        <w:rPr>
          <w:lang w:eastAsia="zh-TW"/>
        </w:rPr>
      </w:pPr>
    </w:p>
    <w:p w:rsidR="00E53F6B" w:rsidRPr="00E53F6B" w:rsidRDefault="00E53F6B" w:rsidP="0081183A">
      <w:pPr>
        <w:rPr>
          <w:b/>
          <w:lang w:eastAsia="zh-TW"/>
        </w:rPr>
      </w:pPr>
      <w:r>
        <w:rPr>
          <w:b/>
          <w:lang w:eastAsia="zh-TW"/>
        </w:rPr>
        <w:t>É</w:t>
      </w:r>
      <w:r w:rsidRPr="00E53F6B">
        <w:rPr>
          <w:b/>
          <w:lang w:eastAsia="zh-TW"/>
        </w:rPr>
        <w:t>pouser une femme ou une fille en fuite</w:t>
      </w:r>
    </w:p>
    <w:p w:rsidR="00E53F6B" w:rsidRPr="0081183A" w:rsidRDefault="00E53F6B" w:rsidP="0081183A">
      <w:pPr>
        <w:rPr>
          <w:lang w:eastAsia="zh-TW"/>
        </w:rPr>
      </w:pPr>
    </w:p>
    <w:p w:rsidR="00922A68" w:rsidRDefault="00BF4831">
      <w:pPr>
        <w:rPr>
          <w:lang w:eastAsia="zh-TW"/>
        </w:rPr>
      </w:pPr>
      <w:r>
        <w:rPr>
          <w:lang w:eastAsia="zh-TW"/>
        </w:rPr>
        <w:t xml:space="preserve">Quiconque épouse une femme </w:t>
      </w:r>
      <w:r w:rsidR="00F671E2">
        <w:rPr>
          <w:lang w:eastAsia="zh-TW"/>
        </w:rPr>
        <w:t xml:space="preserve">ou une fille </w:t>
      </w:r>
      <w:r>
        <w:rPr>
          <w:lang w:eastAsia="zh-TW"/>
        </w:rPr>
        <w:t xml:space="preserve">qui s’est enfuie après avoir commis </w:t>
      </w:r>
      <w:r w:rsidRPr="00BF4831">
        <w:rPr>
          <w:color w:val="FF0000"/>
          <w:sz w:val="20"/>
          <w:szCs w:val="20"/>
          <w:lang w:eastAsia="zh-TW"/>
        </w:rPr>
        <w:t>elle-même</w:t>
      </w:r>
      <w:r w:rsidR="000E1DA2">
        <w:rPr>
          <w:color w:val="FF0000"/>
          <w:sz w:val="20"/>
          <w:szCs w:val="20"/>
          <w:lang w:eastAsia="zh-TW"/>
        </w:rPr>
        <w:t>/en personne ?</w:t>
      </w:r>
      <w:r w:rsidRPr="00BF4831">
        <w:rPr>
          <w:color w:val="FF0000"/>
          <w:sz w:val="20"/>
          <w:szCs w:val="20"/>
          <w:lang w:eastAsia="zh-TW"/>
        </w:rPr>
        <w:t xml:space="preserve"> </w:t>
      </w:r>
      <w:r>
        <w:rPr>
          <w:lang w:eastAsia="zh-TW"/>
        </w:rPr>
        <w:t xml:space="preserve">un crime </w:t>
      </w:r>
      <w:r w:rsidRPr="000E1DA2">
        <w:rPr>
          <w:color w:val="4472C4" w:themeColor="accent1"/>
          <w:sz w:val="20"/>
          <w:szCs w:val="20"/>
          <w:lang w:eastAsia="zh-TW"/>
        </w:rPr>
        <w:t>déjà découvert et en cours d’instruction par l’autorité</w:t>
      </w:r>
      <w:r w:rsidR="000E1DA2" w:rsidRPr="000E1DA2">
        <w:rPr>
          <w:color w:val="4472C4" w:themeColor="accent1"/>
          <w:sz w:val="20"/>
          <w:szCs w:val="20"/>
          <w:lang w:eastAsia="zh-TW"/>
        </w:rPr>
        <w:t>,</w:t>
      </w:r>
      <w:r w:rsidR="000E1DA2">
        <w:rPr>
          <w:lang w:eastAsia="zh-TW"/>
        </w:rPr>
        <w:t xml:space="preserve"> s’il est au courant </w:t>
      </w:r>
      <w:r w:rsidR="000E1DA2" w:rsidRPr="000E1DA2">
        <w:rPr>
          <w:color w:val="4472C4" w:themeColor="accent1"/>
          <w:sz w:val="20"/>
          <w:szCs w:val="20"/>
          <w:lang w:eastAsia="zh-TW"/>
        </w:rPr>
        <w:t>de cette fuite</w:t>
      </w:r>
      <w:r w:rsidR="000E1DA2">
        <w:rPr>
          <w:lang w:eastAsia="zh-TW"/>
        </w:rPr>
        <w:t xml:space="preserve">, est condamné à la même peine </w:t>
      </w:r>
      <w:r w:rsidR="000E1DA2" w:rsidRPr="000E1DA2">
        <w:rPr>
          <w:color w:val="4472C4" w:themeColor="accent1"/>
          <w:sz w:val="20"/>
          <w:szCs w:val="20"/>
          <w:lang w:eastAsia="zh-TW"/>
        </w:rPr>
        <w:t>que celle punissant le crime commis</w:t>
      </w:r>
      <w:r w:rsidR="000E1DA2">
        <w:rPr>
          <w:color w:val="4472C4" w:themeColor="accent1"/>
          <w:sz w:val="20"/>
          <w:szCs w:val="20"/>
          <w:lang w:eastAsia="zh-TW"/>
        </w:rPr>
        <w:t xml:space="preserve"> [par la femme]</w:t>
      </w:r>
      <w:r w:rsidR="000E1DA2">
        <w:rPr>
          <w:lang w:eastAsia="zh-TW"/>
        </w:rPr>
        <w:t xml:space="preserve">. </w:t>
      </w:r>
      <w:r w:rsidR="000E1DA2" w:rsidRPr="000E1DA2">
        <w:rPr>
          <w:color w:val="4472C4" w:themeColor="accent1"/>
          <w:sz w:val="20"/>
          <w:szCs w:val="20"/>
          <w:lang w:eastAsia="zh-TW"/>
        </w:rPr>
        <w:t>La peine de la femme est aggravée de deux degrés du fait de sa fuite, mais la peine de celui qui l’épouse n’est pas aggravée</w:t>
      </w:r>
      <w:r w:rsidR="000E1DA2">
        <w:rPr>
          <w:lang w:eastAsia="zh-TW"/>
        </w:rPr>
        <w:t xml:space="preserve">. </w:t>
      </w:r>
      <w:r w:rsidR="00F671E2">
        <w:rPr>
          <w:lang w:eastAsia="zh-TW"/>
        </w:rPr>
        <w:t>En cas</w:t>
      </w:r>
      <w:r w:rsidR="000E1DA2">
        <w:rPr>
          <w:lang w:eastAsia="zh-TW"/>
        </w:rPr>
        <w:t xml:space="preserve"> de peine capitale</w:t>
      </w:r>
      <w:r w:rsidR="00F671E2">
        <w:rPr>
          <w:lang w:eastAsia="zh-TW"/>
        </w:rPr>
        <w:t xml:space="preserve"> [pour la femme]</w:t>
      </w:r>
      <w:r w:rsidR="000E1DA2">
        <w:rPr>
          <w:lang w:eastAsia="zh-TW"/>
        </w:rPr>
        <w:t>, abaisser d’un degré</w:t>
      </w:r>
      <w:r w:rsidR="00F671E2">
        <w:rPr>
          <w:lang w:eastAsia="zh-TW"/>
        </w:rPr>
        <w:t xml:space="preserve"> [la peine de l’homme]</w:t>
      </w:r>
      <w:r w:rsidR="000E1DA2">
        <w:rPr>
          <w:lang w:eastAsia="zh-TW"/>
        </w:rPr>
        <w:t>. Dissoudre le mariage. Si [l’époux] n’était pas au courant, ne pas l’inculper. Si alors qu’elle n’a</w:t>
      </w:r>
      <w:r w:rsidR="00F671E2">
        <w:rPr>
          <w:lang w:eastAsia="zh-TW"/>
        </w:rPr>
        <w:t xml:space="preserve"> </w:t>
      </w:r>
      <w:r w:rsidR="000E1DA2">
        <w:rPr>
          <w:lang w:eastAsia="zh-TW"/>
        </w:rPr>
        <w:t xml:space="preserve">pas encore </w:t>
      </w:r>
      <w:r w:rsidR="00F671E2">
        <w:rPr>
          <w:lang w:eastAsia="zh-TW"/>
        </w:rPr>
        <w:t xml:space="preserve">eu </w:t>
      </w:r>
      <w:r w:rsidR="000E1DA2">
        <w:rPr>
          <w:lang w:eastAsia="zh-TW"/>
        </w:rPr>
        <w:t>d’époux</w:t>
      </w:r>
      <w:r w:rsidR="00294AAE">
        <w:rPr>
          <w:lang w:eastAsia="zh-TW"/>
        </w:rPr>
        <w:t>, la femme est tombée sous le coup d’une amnistie</w:t>
      </w:r>
      <w:r w:rsidR="00F671E2">
        <w:rPr>
          <w:lang w:eastAsia="zh-TW"/>
        </w:rPr>
        <w:t xml:space="preserve"> qui la</w:t>
      </w:r>
      <w:r w:rsidR="00294AAE">
        <w:rPr>
          <w:lang w:eastAsia="zh-TW"/>
        </w:rPr>
        <w:t xml:space="preserve"> dispense de peine, ne pas dissoudre </w:t>
      </w:r>
      <w:r w:rsidR="00F671E2">
        <w:rPr>
          <w:lang w:eastAsia="zh-TW"/>
        </w:rPr>
        <w:t>c</w:t>
      </w:r>
      <w:r w:rsidR="00294AAE">
        <w:rPr>
          <w:lang w:eastAsia="zh-TW"/>
        </w:rPr>
        <w:t xml:space="preserve">e mariage </w:t>
      </w:r>
      <w:r w:rsidR="00F671E2" w:rsidRPr="00F671E2">
        <w:rPr>
          <w:color w:val="4472C4" w:themeColor="accent1"/>
          <w:sz w:val="20"/>
          <w:szCs w:val="20"/>
          <w:lang w:eastAsia="zh-TW"/>
        </w:rPr>
        <w:t>s’il y a une raison interdisant leur union, dissoudre le mariage</w:t>
      </w:r>
      <w:r w:rsidR="00F671E2">
        <w:rPr>
          <w:lang w:eastAsia="zh-TW"/>
        </w:rPr>
        <w:t>.</w:t>
      </w:r>
    </w:p>
    <w:p w:rsidR="00BF4831" w:rsidRDefault="00BF4831">
      <w:pPr>
        <w:rPr>
          <w:lang w:eastAsia="zh-TW"/>
        </w:rPr>
      </w:pPr>
    </w:p>
    <w:p w:rsidR="00BF4831" w:rsidRDefault="00BF4831">
      <w:pPr>
        <w:rPr>
          <w:lang w:eastAsia="zh-TW"/>
        </w:rPr>
      </w:pPr>
    </w:p>
    <w:p w:rsidR="00BF4831" w:rsidRDefault="00BF4831" w:rsidP="00BF4831">
      <w:pPr>
        <w:rPr>
          <w:lang w:eastAsia="zh-TW"/>
        </w:rPr>
      </w:pPr>
    </w:p>
    <w:p w:rsidR="00BF4831" w:rsidRDefault="00F671E2" w:rsidP="00BF4831">
      <w:pPr>
        <w:rPr>
          <w:rStyle w:val="dicpy"/>
          <w:b/>
        </w:rPr>
      </w:pPr>
      <w:r w:rsidRPr="00F671E2">
        <w:rPr>
          <w:rStyle w:val="dicpy"/>
          <w:b/>
        </w:rPr>
        <w:t>Glossaire</w:t>
      </w:r>
    </w:p>
    <w:p w:rsidR="00746D81" w:rsidRDefault="00746D81" w:rsidP="00BF4831">
      <w:pPr>
        <w:rPr>
          <w:rStyle w:val="dicpy"/>
          <w:b/>
        </w:rPr>
      </w:pPr>
    </w:p>
    <w:p w:rsidR="00746D81" w:rsidRDefault="00746D81" w:rsidP="00746D81">
      <w:proofErr w:type="spellStart"/>
      <w:proofErr w:type="gramStart"/>
      <w:r>
        <w:rPr>
          <w:rStyle w:val="dicpy"/>
        </w:rPr>
        <w:t>táo</w:t>
      </w:r>
      <w:proofErr w:type="spellEnd"/>
      <w:proofErr w:type="gramEnd"/>
      <w:r>
        <w:rPr>
          <w:rStyle w:val="dicpy"/>
        </w:rPr>
        <w:t xml:space="preserve"> </w:t>
      </w:r>
      <w:proofErr w:type="spellStart"/>
      <w:r>
        <w:rPr>
          <w:rStyle w:val="dicpy"/>
        </w:rPr>
        <w:t>zǒu</w:t>
      </w:r>
      <w:proofErr w:type="spellEnd"/>
      <w:r>
        <w:rPr>
          <w:rStyle w:val="dicpy"/>
        </w:rPr>
        <w:t> : en fuite, fugitif, fugitive</w:t>
      </w:r>
    </w:p>
    <w:p w:rsidR="00746D81" w:rsidRPr="00F671E2" w:rsidRDefault="00746D81" w:rsidP="00BF4831">
      <w:pPr>
        <w:rPr>
          <w:rStyle w:val="dicpy"/>
          <w:b/>
        </w:rPr>
      </w:pPr>
    </w:p>
    <w:p w:rsidR="00746D81" w:rsidRDefault="00746D81" w:rsidP="00BF4831">
      <w:pPr>
        <w:rPr>
          <w:rStyle w:val="dicpy"/>
        </w:rPr>
      </w:pPr>
      <w:proofErr w:type="spellStart"/>
      <w:r>
        <w:rPr>
          <w:rStyle w:val="dicpy"/>
        </w:rPr>
        <w:t>Comm</w:t>
      </w:r>
      <w:proofErr w:type="spellEnd"/>
      <w:r>
        <w:rPr>
          <w:rStyle w:val="dicpy"/>
        </w:rPr>
        <w:t xml:space="preserve">. 12 occurrences </w:t>
      </w:r>
      <w:proofErr w:type="spellStart"/>
      <w:r>
        <w:rPr>
          <w:rStyle w:val="dicpy"/>
        </w:rPr>
        <w:t>ds</w:t>
      </w:r>
      <w:proofErr w:type="spellEnd"/>
      <w:r>
        <w:rPr>
          <w:rStyle w:val="dicpy"/>
        </w:rPr>
        <w:t xml:space="preserve"> DQLL : </w:t>
      </w:r>
    </w:p>
    <w:p w:rsidR="00BF4831" w:rsidRDefault="00746D81" w:rsidP="00BF4831">
      <w:pPr>
        <w:rPr>
          <w:rStyle w:val="dicpy"/>
        </w:rPr>
      </w:pPr>
      <w:proofErr w:type="gramStart"/>
      <w:r>
        <w:rPr>
          <w:rStyle w:val="dicpy"/>
        </w:rPr>
        <w:t>le</w:t>
      </w:r>
      <w:proofErr w:type="gramEnd"/>
      <w:r>
        <w:rPr>
          <w:rStyle w:val="dicpy"/>
        </w:rPr>
        <w:t xml:space="preserve"> terme s’applique à des gens « en rupture de ban » qui ont échappé  à leur </w:t>
      </w:r>
      <w:r w:rsidR="00E86D64">
        <w:rPr>
          <w:rStyle w:val="dicpy"/>
        </w:rPr>
        <w:t xml:space="preserve">lieu d’enregistrement et à leur </w:t>
      </w:r>
      <w:r>
        <w:rPr>
          <w:rStyle w:val="dicpy"/>
        </w:rPr>
        <w:t>autorité de tutelle : enfants ou épouses ayant échappé à leur famille, criminels évadés, soldats déserteurs</w:t>
      </w:r>
      <w:r w:rsidR="00E86D64">
        <w:rPr>
          <w:rStyle w:val="dicpy"/>
        </w:rPr>
        <w:t xml:space="preserve"> ; qui </w:t>
      </w:r>
    </w:p>
    <w:p w:rsidR="00746D81" w:rsidRDefault="00746D81" w:rsidP="00BF4831">
      <w:pPr>
        <w:rPr>
          <w:rStyle w:val="dicpy"/>
        </w:rPr>
      </w:pPr>
    </w:p>
    <w:p w:rsidR="00E86D64" w:rsidRDefault="00746D81" w:rsidP="00E86D64">
      <w:r>
        <w:rPr>
          <w:rStyle w:val="dicpy"/>
        </w:rPr>
        <w:t>réf.</w:t>
      </w:r>
      <w:r w:rsidRPr="00746D81">
        <w:t xml:space="preserve"> </w:t>
      </w:r>
      <w:hyperlink r:id="rId4" w:history="1">
        <w:r w:rsidRPr="00746D81">
          <w:rPr>
            <w:rFonts w:ascii="MS Mincho" w:eastAsia="MS Mincho" w:hAnsi="MS Mincho" w:cs="MS Mincho"/>
            <w:color w:val="0000FF"/>
            <w:u w:val="single"/>
          </w:rPr>
          <w:t>律</w:t>
        </w:r>
        <w:r w:rsidRPr="00746D81">
          <w:rPr>
            <w:color w:val="0000FF"/>
            <w:u w:val="single"/>
          </w:rPr>
          <w:t>/</w:t>
        </w:r>
        <w:proofErr w:type="spellStart"/>
        <w:r w:rsidRPr="00746D81">
          <w:rPr>
            <w:color w:val="0000FF"/>
            <w:u w:val="single"/>
          </w:rPr>
          <w:t>lü</w:t>
        </w:r>
        <w:proofErr w:type="spellEnd"/>
        <w:r w:rsidRPr="00746D81">
          <w:rPr>
            <w:color w:val="0000FF"/>
            <w:u w:val="single"/>
          </w:rPr>
          <w:t xml:space="preserve"> 31 | </w:t>
        </w:r>
        <w:proofErr w:type="spellStart"/>
        <w:r w:rsidRPr="00746D81">
          <w:rPr>
            <w:color w:val="0000FF"/>
            <w:u w:val="single"/>
          </w:rPr>
          <w:t>Fanzui</w:t>
        </w:r>
        <w:proofErr w:type="spellEnd"/>
        <w:r w:rsidRPr="00746D81">
          <w:rPr>
            <w:color w:val="0000FF"/>
            <w:u w:val="single"/>
          </w:rPr>
          <w:t xml:space="preserve"> </w:t>
        </w:r>
        <w:proofErr w:type="spellStart"/>
        <w:r w:rsidRPr="00746D81">
          <w:rPr>
            <w:color w:val="0000FF"/>
            <w:u w:val="single"/>
          </w:rPr>
          <w:t>shifa</w:t>
        </w:r>
        <w:proofErr w:type="spellEnd"/>
        <w:r w:rsidRPr="00746D81">
          <w:rPr>
            <w:color w:val="0000FF"/>
            <w:u w:val="single"/>
          </w:rPr>
          <w:t xml:space="preserve"> </w:t>
        </w:r>
        <w:proofErr w:type="spellStart"/>
        <w:r w:rsidRPr="00746D81">
          <w:rPr>
            <w:color w:val="0000FF"/>
            <w:u w:val="single"/>
          </w:rPr>
          <w:t>zaitao</w:t>
        </w:r>
        <w:proofErr w:type="spellEnd"/>
        <w:r w:rsidRPr="00746D81">
          <w:rPr>
            <w:color w:val="0000FF"/>
            <w:u w:val="single"/>
          </w:rPr>
          <w:t xml:space="preserve"> </w:t>
        </w:r>
        <w:r w:rsidRPr="00746D81">
          <w:rPr>
            <w:rFonts w:ascii="MS Mincho" w:eastAsia="MS Mincho" w:hAnsi="MS Mincho" w:cs="MS Mincho"/>
            <w:color w:val="0000FF"/>
            <w:u w:val="single"/>
          </w:rPr>
          <w:t>犯罪事發在逃</w:t>
        </w:r>
      </w:hyperlink>
      <w:r>
        <w:t> </w:t>
      </w:r>
      <w:r w:rsidR="00E86D64">
        <w:t xml:space="preserve"> ; </w:t>
      </w:r>
      <w:r w:rsidR="00E86D64">
        <w:fldChar w:fldCharType="begin"/>
      </w:r>
      <w:r w:rsidR="00E86D64">
        <w:instrText xml:space="preserve"> HYPERLINK "https://lsc.chineselegalculture.org/eC/DQLL_1740/5.3.1.75" </w:instrText>
      </w:r>
      <w:r w:rsidR="00E86D64">
        <w:fldChar w:fldCharType="separate"/>
      </w:r>
      <w:r w:rsidR="00E86D64">
        <w:rPr>
          <w:rStyle w:val="Lienhypertexte"/>
          <w:rFonts w:ascii="MS Mincho" w:eastAsia="MS Mincho" w:hAnsi="MS Mincho" w:cs="MS Mincho" w:hint="eastAsia"/>
        </w:rPr>
        <w:t>律</w:t>
      </w:r>
      <w:r w:rsidR="00E86D64">
        <w:rPr>
          <w:rStyle w:val="Lienhypertexte"/>
        </w:rPr>
        <w:t>/</w:t>
      </w:r>
      <w:proofErr w:type="spellStart"/>
      <w:r w:rsidR="00E86D64">
        <w:rPr>
          <w:rStyle w:val="Lienhypertexte"/>
        </w:rPr>
        <w:t>lü</w:t>
      </w:r>
      <w:proofErr w:type="spellEnd"/>
      <w:r w:rsidR="00E86D64">
        <w:rPr>
          <w:rStyle w:val="Lienhypertexte"/>
        </w:rPr>
        <w:t xml:space="preserve"> 75 | </w:t>
      </w:r>
      <w:proofErr w:type="spellStart"/>
      <w:r w:rsidR="00E86D64">
        <w:rPr>
          <w:rStyle w:val="Lienhypertexte"/>
        </w:rPr>
        <w:t>Tuolou</w:t>
      </w:r>
      <w:proofErr w:type="spellEnd"/>
      <w:r w:rsidR="00E86D64">
        <w:rPr>
          <w:rStyle w:val="Lienhypertexte"/>
        </w:rPr>
        <w:t xml:space="preserve"> </w:t>
      </w:r>
      <w:proofErr w:type="spellStart"/>
      <w:r w:rsidR="00E86D64">
        <w:rPr>
          <w:rStyle w:val="Lienhypertexte"/>
        </w:rPr>
        <w:t>hukou</w:t>
      </w:r>
      <w:proofErr w:type="spellEnd"/>
      <w:r w:rsidR="00E86D64">
        <w:rPr>
          <w:rStyle w:val="Lienhypertexte"/>
        </w:rPr>
        <w:t xml:space="preserve"> </w:t>
      </w:r>
      <w:r w:rsidR="00E86D64">
        <w:rPr>
          <w:rStyle w:val="Lienhypertexte"/>
          <w:rFonts w:ascii="Yu Gothic" w:eastAsia="Yu Gothic" w:hAnsi="Yu Gothic" w:cs="Yu Gothic" w:hint="eastAsia"/>
        </w:rPr>
        <w:t>脫</w:t>
      </w:r>
      <w:r w:rsidR="00E86D64">
        <w:rPr>
          <w:rStyle w:val="Lienhypertexte"/>
          <w:rFonts w:ascii="MS Mincho" w:eastAsia="MS Mincho" w:hAnsi="MS Mincho" w:cs="MS Mincho" w:hint="eastAsia"/>
        </w:rPr>
        <w:t>漏</w:t>
      </w:r>
      <w:r w:rsidR="00E86D64">
        <w:rPr>
          <w:rStyle w:val="Lienhypertexte"/>
          <w:rFonts w:ascii="Yu Gothic" w:eastAsia="Yu Gothic" w:hAnsi="Yu Gothic" w:cs="Yu Gothic" w:hint="eastAsia"/>
        </w:rPr>
        <w:t>戶</w:t>
      </w:r>
      <w:r w:rsidR="00E86D64">
        <w:rPr>
          <w:rStyle w:val="Lienhypertexte"/>
          <w:rFonts w:ascii="MS Mincho" w:eastAsia="MS Mincho" w:hAnsi="MS Mincho" w:cs="MS Mincho" w:hint="eastAsia"/>
        </w:rPr>
        <w:t>口</w:t>
      </w:r>
      <w:r w:rsidR="00E86D64">
        <w:fldChar w:fldCharType="end"/>
      </w:r>
      <w:r w:rsidR="00E86D64">
        <w:t xml:space="preserve"> ; </w:t>
      </w:r>
      <w:hyperlink r:id="rId5" w:history="1">
        <w:r w:rsidR="00E86D64">
          <w:rPr>
            <w:rStyle w:val="Lienhypertexte"/>
            <w:rFonts w:ascii="MS Mincho" w:eastAsia="MS Mincho" w:hAnsi="MS Mincho" w:cs="MS Mincho" w:hint="eastAsia"/>
          </w:rPr>
          <w:t>律</w:t>
        </w:r>
        <w:r w:rsidR="00E86D64">
          <w:rPr>
            <w:rStyle w:val="Lienhypertexte"/>
          </w:rPr>
          <w:t>/</w:t>
        </w:r>
        <w:proofErr w:type="spellStart"/>
        <w:r w:rsidR="00E86D64">
          <w:rPr>
            <w:rStyle w:val="Lienhypertexte"/>
          </w:rPr>
          <w:t>lü</w:t>
        </w:r>
        <w:proofErr w:type="spellEnd"/>
        <w:r w:rsidR="00E86D64">
          <w:rPr>
            <w:rStyle w:val="Lienhypertexte"/>
          </w:rPr>
          <w:t xml:space="preserve"> 76 | </w:t>
        </w:r>
        <w:proofErr w:type="spellStart"/>
        <w:r w:rsidR="00E86D64">
          <w:rPr>
            <w:rStyle w:val="Lienhypertexte"/>
          </w:rPr>
          <w:t>Renhu</w:t>
        </w:r>
        <w:proofErr w:type="spellEnd"/>
        <w:r w:rsidR="00E86D64">
          <w:rPr>
            <w:rStyle w:val="Lienhypertexte"/>
          </w:rPr>
          <w:t xml:space="preserve"> </w:t>
        </w:r>
        <w:proofErr w:type="spellStart"/>
        <w:r w:rsidR="00E86D64">
          <w:rPr>
            <w:rStyle w:val="Lienhypertexte"/>
          </w:rPr>
          <w:t>yiji</w:t>
        </w:r>
        <w:proofErr w:type="spellEnd"/>
        <w:r w:rsidR="00E86D64">
          <w:rPr>
            <w:rStyle w:val="Lienhypertexte"/>
          </w:rPr>
          <w:t xml:space="preserve"> </w:t>
        </w:r>
        <w:proofErr w:type="spellStart"/>
        <w:r w:rsidR="00E86D64">
          <w:rPr>
            <w:rStyle w:val="Lienhypertexte"/>
          </w:rPr>
          <w:t>weiding</w:t>
        </w:r>
        <w:proofErr w:type="spellEnd"/>
        <w:r w:rsidR="00E86D64">
          <w:rPr>
            <w:rStyle w:val="Lienhypertexte"/>
          </w:rPr>
          <w:t xml:space="preserve"> </w:t>
        </w:r>
        <w:r w:rsidR="00E86D64">
          <w:rPr>
            <w:rStyle w:val="Lienhypertexte"/>
            <w:rFonts w:ascii="MS Mincho" w:eastAsia="MS Mincho" w:hAnsi="MS Mincho" w:cs="MS Mincho" w:hint="eastAsia"/>
          </w:rPr>
          <w:t>人</w:t>
        </w:r>
        <w:r w:rsidR="00E86D64">
          <w:rPr>
            <w:rStyle w:val="Lienhypertexte"/>
            <w:rFonts w:ascii="Yu Gothic" w:eastAsia="Yu Gothic" w:hAnsi="Yu Gothic" w:cs="Yu Gothic" w:hint="eastAsia"/>
          </w:rPr>
          <w:t>戶</w:t>
        </w:r>
        <w:r w:rsidR="00E86D64">
          <w:rPr>
            <w:rStyle w:val="Lienhypertexte"/>
            <w:rFonts w:ascii="MS Mincho" w:eastAsia="MS Mincho" w:hAnsi="MS Mincho" w:cs="MS Mincho" w:hint="eastAsia"/>
          </w:rPr>
          <w:t>以籍為定</w:t>
        </w:r>
      </w:hyperlink>
      <w:r w:rsidR="00E86D64">
        <w:t> —</w:t>
      </w:r>
      <w:hyperlink r:id="rId6" w:history="1">
        <w:r w:rsidR="00E86D64">
          <w:rPr>
            <w:rStyle w:val="Lienhypertexte"/>
            <w:rFonts w:ascii="MS Mincho" w:eastAsia="MS Mincho" w:hAnsi="MS Mincho" w:cs="MS Mincho" w:hint="eastAsia"/>
          </w:rPr>
          <w:t>條例</w:t>
        </w:r>
        <w:r w:rsidR="00E86D64">
          <w:rPr>
            <w:rStyle w:val="Lienhypertexte"/>
          </w:rPr>
          <w:t>/</w:t>
        </w:r>
        <w:proofErr w:type="spellStart"/>
        <w:r w:rsidR="00E86D64">
          <w:rPr>
            <w:rStyle w:val="Lienhypertexte"/>
          </w:rPr>
          <w:t>tiaoli</w:t>
        </w:r>
        <w:proofErr w:type="spellEnd"/>
        <w:r w:rsidR="00E86D64">
          <w:rPr>
            <w:rStyle w:val="Lienhypertexte"/>
          </w:rPr>
          <w:t xml:space="preserve"> 2 </w:t>
        </w:r>
      </w:hyperlink>
      <w:r w:rsidR="00E86D64">
        <w:t xml:space="preserve"> </w:t>
      </w:r>
      <w:r w:rsidR="00E86D64">
        <w:t xml:space="preserve">; </w:t>
      </w:r>
      <w:r w:rsidR="00E86D64">
        <w:rPr>
          <w:rStyle w:val="dicpy"/>
        </w:rPr>
        <w:t xml:space="preserve"> </w:t>
      </w:r>
      <w:hyperlink r:id="rId7" w:history="1">
        <w:r w:rsidR="00E86D64" w:rsidRPr="0081183A">
          <w:rPr>
            <w:rFonts w:ascii="MS Mincho" w:eastAsia="MS Mincho" w:hAnsi="MS Mincho" w:cs="MS Mincho" w:hint="eastAsia"/>
            <w:color w:val="0000FF"/>
            <w:u w:val="single"/>
            <w:lang w:eastAsia="zh-TW"/>
          </w:rPr>
          <w:t>律</w:t>
        </w:r>
        <w:r w:rsidR="00E86D64" w:rsidRPr="0081183A">
          <w:rPr>
            <w:color w:val="0000FF"/>
            <w:u w:val="single"/>
            <w:lang w:eastAsia="zh-TW"/>
          </w:rPr>
          <w:t>/</w:t>
        </w:r>
        <w:proofErr w:type="spellStart"/>
        <w:r w:rsidR="00E86D64" w:rsidRPr="0081183A">
          <w:rPr>
            <w:color w:val="0000FF"/>
            <w:u w:val="single"/>
            <w:lang w:eastAsia="zh-TW"/>
          </w:rPr>
          <w:t>lü</w:t>
        </w:r>
        <w:proofErr w:type="spellEnd"/>
        <w:r w:rsidR="00E86D64" w:rsidRPr="0081183A">
          <w:rPr>
            <w:color w:val="0000FF"/>
            <w:u w:val="single"/>
            <w:lang w:eastAsia="zh-TW"/>
          </w:rPr>
          <w:t xml:space="preserve"> 111 | </w:t>
        </w:r>
        <w:proofErr w:type="spellStart"/>
        <w:r w:rsidR="00E86D64" w:rsidRPr="0081183A">
          <w:rPr>
            <w:color w:val="0000FF"/>
            <w:u w:val="single"/>
            <w:lang w:eastAsia="zh-TW"/>
          </w:rPr>
          <w:t>Qu</w:t>
        </w:r>
        <w:proofErr w:type="spellEnd"/>
        <w:r w:rsidR="00E86D64" w:rsidRPr="0081183A">
          <w:rPr>
            <w:color w:val="0000FF"/>
            <w:u w:val="single"/>
            <w:lang w:eastAsia="zh-TW"/>
          </w:rPr>
          <w:t xml:space="preserve"> </w:t>
        </w:r>
        <w:proofErr w:type="spellStart"/>
        <w:r w:rsidR="00E86D64" w:rsidRPr="0081183A">
          <w:rPr>
            <w:color w:val="0000FF"/>
            <w:u w:val="single"/>
            <w:lang w:eastAsia="zh-TW"/>
          </w:rPr>
          <w:t>taozou</w:t>
        </w:r>
        <w:proofErr w:type="spellEnd"/>
        <w:r w:rsidR="00E86D64" w:rsidRPr="0081183A">
          <w:rPr>
            <w:color w:val="0000FF"/>
            <w:u w:val="single"/>
            <w:lang w:eastAsia="zh-TW"/>
          </w:rPr>
          <w:t xml:space="preserve"> </w:t>
        </w:r>
        <w:proofErr w:type="spellStart"/>
        <w:r w:rsidR="00E86D64" w:rsidRPr="0081183A">
          <w:rPr>
            <w:color w:val="0000FF"/>
            <w:u w:val="single"/>
            <w:lang w:eastAsia="zh-TW"/>
          </w:rPr>
          <w:t>funü</w:t>
        </w:r>
        <w:proofErr w:type="spellEnd"/>
        <w:r w:rsidR="00E86D64" w:rsidRPr="0081183A">
          <w:rPr>
            <w:color w:val="0000FF"/>
            <w:u w:val="single"/>
            <w:lang w:eastAsia="zh-TW"/>
          </w:rPr>
          <w:t xml:space="preserve"> </w:t>
        </w:r>
        <w:r w:rsidR="00E86D64" w:rsidRPr="0081183A">
          <w:rPr>
            <w:rFonts w:ascii="MS Mincho" w:eastAsia="MS Mincho" w:hAnsi="MS Mincho" w:cs="MS Mincho" w:hint="eastAsia"/>
            <w:color w:val="0000FF"/>
            <w:u w:val="single"/>
            <w:lang w:eastAsia="zh-TW"/>
          </w:rPr>
          <w:t>娶逃走婦女</w:t>
        </w:r>
      </w:hyperlink>
    </w:p>
    <w:p w:rsidR="00746D81" w:rsidRPr="0081183A" w:rsidRDefault="00746D81" w:rsidP="00746D81"/>
    <w:p w:rsidR="00746D81" w:rsidRDefault="00746D81" w:rsidP="00BF4831">
      <w:pPr>
        <w:rPr>
          <w:rStyle w:val="dicpy"/>
          <w:lang w:eastAsia="zh-TW"/>
        </w:rPr>
      </w:pPr>
      <w:bookmarkStart w:id="0" w:name="_GoBack"/>
      <w:bookmarkEnd w:id="0"/>
    </w:p>
    <w:p w:rsidR="00746D81" w:rsidRDefault="00746D81" w:rsidP="00BF4831">
      <w:pPr>
        <w:rPr>
          <w:rStyle w:val="dicpy"/>
        </w:rPr>
      </w:pPr>
    </w:p>
    <w:p w:rsidR="00746D81" w:rsidRDefault="00746D81" w:rsidP="00BF4831">
      <w:pPr>
        <w:rPr>
          <w:rStyle w:val="dicpy"/>
        </w:rPr>
      </w:pPr>
    </w:p>
    <w:p w:rsidR="00BF4831" w:rsidRDefault="00BF4831" w:rsidP="00BF4831">
      <w:pPr>
        <w:rPr>
          <w:rFonts w:ascii="Times" w:eastAsia="MS Mincho" w:hAnsi="Times" w:cs="MS Mincho"/>
          <w:lang w:eastAsia="zh-TW"/>
        </w:rPr>
      </w:pPr>
      <w:proofErr w:type="spellStart"/>
      <w:r>
        <w:rPr>
          <w:rStyle w:val="dicpy"/>
        </w:rPr>
        <w:t>zài</w:t>
      </w:r>
      <w:proofErr w:type="spellEnd"/>
      <w:r>
        <w:rPr>
          <w:rStyle w:val="dicpy"/>
        </w:rPr>
        <w:t xml:space="preserve"> </w:t>
      </w:r>
      <w:proofErr w:type="spellStart"/>
      <w:r>
        <w:rPr>
          <w:rStyle w:val="dicpy"/>
        </w:rPr>
        <w:t>guān</w:t>
      </w:r>
      <w:proofErr w:type="spellEnd"/>
      <w:r>
        <w:rPr>
          <w:rStyle w:val="dicpy"/>
        </w:rPr>
        <w:t xml:space="preserve"> </w:t>
      </w:r>
      <w:r w:rsidRPr="0081183A">
        <w:rPr>
          <w:rFonts w:ascii="Times" w:eastAsia="MS Mincho" w:hAnsi="Times" w:cs="MS Mincho"/>
          <w:lang w:eastAsia="zh-TW"/>
        </w:rPr>
        <w:t>在官</w:t>
      </w:r>
      <w:r>
        <w:rPr>
          <w:rFonts w:ascii="Times" w:eastAsia="MS Mincho" w:hAnsi="Times" w:cs="MS Mincho" w:hint="eastAsia"/>
          <w:lang w:eastAsia="zh-TW"/>
        </w:rPr>
        <w:t> </w:t>
      </w:r>
      <w:r>
        <w:rPr>
          <w:rFonts w:ascii="Times" w:eastAsia="MS Mincho" w:hAnsi="Times" w:cs="MS Mincho"/>
          <w:lang w:eastAsia="zh-TW"/>
        </w:rPr>
        <w:t>:</w:t>
      </w:r>
      <w:r w:rsidR="000E1DA2">
        <w:rPr>
          <w:rFonts w:ascii="Times" w:eastAsia="MS Mincho" w:hAnsi="Times" w:cs="MS Mincho"/>
          <w:lang w:eastAsia="zh-TW"/>
        </w:rPr>
        <w:t xml:space="preserve"> être dans les mains du magistrat, en cours d’instruction</w:t>
      </w:r>
      <w:r w:rsidR="00FF37B2">
        <w:rPr>
          <w:rFonts w:ascii="Times" w:eastAsia="MS Mincho" w:hAnsi="Times" w:cs="MS Mincho"/>
          <w:lang w:eastAsia="zh-TW"/>
        </w:rPr>
        <w:t xml:space="preserve"> (pour une affaire)</w:t>
      </w:r>
    </w:p>
    <w:p w:rsidR="000E1DA2" w:rsidRDefault="000E1DA2" w:rsidP="00BF4831">
      <w:pPr>
        <w:rPr>
          <w:rFonts w:ascii="Times" w:hAnsi="Times"/>
        </w:rPr>
      </w:pPr>
    </w:p>
    <w:p w:rsidR="000E1DA2" w:rsidRDefault="000E1DA2" w:rsidP="000E1DA2">
      <w:pPr>
        <w:rPr>
          <w:rStyle w:val="dicpy"/>
        </w:rPr>
      </w:pPr>
      <w:proofErr w:type="spellStart"/>
      <w:r>
        <w:rPr>
          <w:rStyle w:val="dicpy"/>
        </w:rPr>
        <w:t>huì</w:t>
      </w:r>
      <w:proofErr w:type="spellEnd"/>
      <w:r>
        <w:rPr>
          <w:rStyle w:val="dicpy"/>
        </w:rPr>
        <w:t xml:space="preserve"> </w:t>
      </w:r>
      <w:proofErr w:type="spellStart"/>
      <w:r>
        <w:rPr>
          <w:rStyle w:val="dicpy"/>
        </w:rPr>
        <w:t>shè</w:t>
      </w:r>
      <w:proofErr w:type="spellEnd"/>
      <w:r w:rsidR="00F671E2">
        <w:rPr>
          <w:rStyle w:val="dicpy"/>
        </w:rPr>
        <w:t xml:space="preserve"> </w:t>
      </w:r>
      <w:r w:rsidR="00F671E2" w:rsidRPr="0081183A">
        <w:rPr>
          <w:rFonts w:ascii="MS Mincho" w:eastAsia="MS Mincho" w:hAnsi="MS Mincho" w:cs="MS Mincho" w:hint="eastAsia"/>
          <w:lang w:eastAsia="zh-TW"/>
        </w:rPr>
        <w:t>會赦</w:t>
      </w:r>
      <w:r>
        <w:rPr>
          <w:rStyle w:val="dicpy"/>
        </w:rPr>
        <w:t xml:space="preserve"> : tomber sous le coup d’une amnistie, être </w:t>
      </w:r>
      <w:proofErr w:type="spellStart"/>
      <w:r>
        <w:rPr>
          <w:rStyle w:val="dicpy"/>
        </w:rPr>
        <w:t>grâcié</w:t>
      </w:r>
      <w:proofErr w:type="spellEnd"/>
      <w:r w:rsidR="00294AAE">
        <w:rPr>
          <w:rStyle w:val="dicpy"/>
        </w:rPr>
        <w:t>(e).</w:t>
      </w:r>
    </w:p>
    <w:p w:rsidR="00294AAE" w:rsidRDefault="00294AAE" w:rsidP="000E1DA2"/>
    <w:p w:rsidR="00294AAE" w:rsidRDefault="00E86D64" w:rsidP="00294AAE">
      <w:pPr>
        <w:pStyle w:val="NormalWeb"/>
        <w:spacing w:before="60" w:beforeAutospacing="0" w:after="60" w:afterAutospacing="0"/>
        <w:rPr>
          <w:sz w:val="27"/>
          <w:szCs w:val="27"/>
        </w:rPr>
      </w:pPr>
      <w:hyperlink r:id="rId8" w:history="1">
        <w:proofErr w:type="spellStart"/>
        <w:r w:rsidR="00294AAE">
          <w:rPr>
            <w:rStyle w:val="Lienhypertexte"/>
            <w:sz w:val="27"/>
            <w:szCs w:val="27"/>
          </w:rPr>
          <w:t>miǎnzuì</w:t>
        </w:r>
        <w:proofErr w:type="spellEnd"/>
      </w:hyperlink>
      <w:r w:rsidR="00294AAE">
        <w:rPr>
          <w:sz w:val="27"/>
          <w:szCs w:val="27"/>
        </w:rPr>
        <w:t xml:space="preserve"> / </w:t>
      </w:r>
      <w:r w:rsidR="00294AAE">
        <w:rPr>
          <w:rFonts w:ascii="MS Mincho" w:eastAsia="MS Mincho" w:hAnsi="MS Mincho" w:cs="MS Mincho" w:hint="eastAsia"/>
          <w:sz w:val="27"/>
          <w:szCs w:val="27"/>
        </w:rPr>
        <w:t>免罪</w:t>
      </w:r>
      <w:r w:rsidR="00294AAE">
        <w:rPr>
          <w:sz w:val="20"/>
          <w:szCs w:val="20"/>
        </w:rPr>
        <w:br/>
        <w:t xml:space="preserve">[en] </w:t>
      </w:r>
      <w:proofErr w:type="spellStart"/>
      <w:r w:rsidR="00294AAE">
        <w:rPr>
          <w:sz w:val="20"/>
          <w:szCs w:val="20"/>
        </w:rPr>
        <w:t>dismissal</w:t>
      </w:r>
      <w:proofErr w:type="spellEnd"/>
      <w:r w:rsidR="00294AAE">
        <w:rPr>
          <w:sz w:val="20"/>
          <w:szCs w:val="20"/>
        </w:rPr>
        <w:t xml:space="preserve"> of charges [</w:t>
      </w:r>
      <w:proofErr w:type="spellStart"/>
      <w:r w:rsidR="00294AAE">
        <w:rPr>
          <w:sz w:val="20"/>
          <w:szCs w:val="20"/>
        </w:rPr>
        <w:t>fr</w:t>
      </w:r>
      <w:proofErr w:type="spellEnd"/>
      <w:r w:rsidR="00294AAE">
        <w:rPr>
          <w:sz w:val="20"/>
          <w:szCs w:val="20"/>
        </w:rPr>
        <w:t xml:space="preserve">] dispense de peine </w:t>
      </w:r>
    </w:p>
    <w:p w:rsidR="00294AAE" w:rsidRDefault="00294AAE" w:rsidP="00294AAE">
      <w:pPr>
        <w:pStyle w:val="NormalWeb"/>
        <w:spacing w:before="0" w:beforeAutospacing="0" w:after="0" w:afterAutospacing="0"/>
      </w:pPr>
      <w:proofErr w:type="spellStart"/>
      <w:proofErr w:type="gramStart"/>
      <w:r>
        <w:rPr>
          <w:rStyle w:val="lev"/>
        </w:rPr>
        <w:t>Comments</w:t>
      </w:r>
      <w:proofErr w:type="spellEnd"/>
      <w:r>
        <w:t>:</w:t>
      </w:r>
      <w:proofErr w:type="gramEnd"/>
      <w:r>
        <w:t xml:space="preserve"> Point </w:t>
      </w:r>
      <w:proofErr w:type="spellStart"/>
      <w:r>
        <w:t>doct</w:t>
      </w:r>
      <w:proofErr w:type="spellEnd"/>
      <w:r>
        <w:t xml:space="preserve">. Excuse de dénonciation : l’excuse de dénonciation est une mesure de politique criminelle visant à faciliter la constatation des infractions et la recherche de leurs auteurs. Le malfaiteur qui fournit des renseignements aux autorités sur l’un ou l’autre point va bénéficier d’une mesure de faveur. L’excuse est, tantôt atténuante, et emporte alors abaissement de peine encourue par le dénonciateur, tantôt absolutoire, et emporte alors dispense complète de peine. Elle est utilisée notamment en matière de sûreté de l’État, en matière de fausse monnaie, et dans la lutte contre le trafic de stupéfiants. Une loi du 9 mars 2004 l’a établie dans le but de prévenir l’effet mortel d’un empoisonnement (art. 221-5-3 </w:t>
      </w:r>
      <w:proofErr w:type="spellStart"/>
      <w:r>
        <w:t>C.pén</w:t>
      </w:r>
      <w:proofErr w:type="spellEnd"/>
      <w:r>
        <w:t>.). </w:t>
      </w:r>
    </w:p>
    <w:p w:rsidR="00294AAE" w:rsidRDefault="00294AAE" w:rsidP="000E1DA2"/>
    <w:p w:rsidR="000E1DA2" w:rsidRPr="00BF4831" w:rsidRDefault="000E1DA2" w:rsidP="00BF4831">
      <w:pPr>
        <w:rPr>
          <w:rFonts w:ascii="Times" w:hAnsi="Times"/>
        </w:rPr>
      </w:pPr>
    </w:p>
    <w:p w:rsidR="00BF4831" w:rsidRDefault="00BF4831">
      <w:pPr>
        <w:rPr>
          <w:lang w:eastAsia="zh-TW"/>
        </w:rPr>
      </w:pPr>
    </w:p>
    <w:sectPr w:rsidR="00BF4831"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3A"/>
    <w:rsid w:val="00011EB6"/>
    <w:rsid w:val="000E1DA2"/>
    <w:rsid w:val="0013506C"/>
    <w:rsid w:val="00294AAE"/>
    <w:rsid w:val="002D59FC"/>
    <w:rsid w:val="00360F04"/>
    <w:rsid w:val="00387FEC"/>
    <w:rsid w:val="00746D81"/>
    <w:rsid w:val="0078471E"/>
    <w:rsid w:val="0081183A"/>
    <w:rsid w:val="00982DB3"/>
    <w:rsid w:val="00BF4831"/>
    <w:rsid w:val="00C235B8"/>
    <w:rsid w:val="00D22777"/>
    <w:rsid w:val="00E53F6B"/>
    <w:rsid w:val="00E86D64"/>
    <w:rsid w:val="00F64185"/>
    <w:rsid w:val="00F671E2"/>
    <w:rsid w:val="00FF37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091492"/>
  <w14:defaultImageDpi w14:val="32767"/>
  <w15:chartTrackingRefBased/>
  <w15:docId w15:val="{B57A74BE-0E13-E641-B3C3-459B476B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D81"/>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183A"/>
    <w:pPr>
      <w:spacing w:before="100" w:beforeAutospacing="1" w:after="100" w:afterAutospacing="1"/>
    </w:pPr>
  </w:style>
  <w:style w:type="character" w:styleId="Lienhypertexte">
    <w:name w:val="Hyperlink"/>
    <w:basedOn w:val="Policepardfaut"/>
    <w:uiPriority w:val="99"/>
    <w:semiHidden/>
    <w:unhideWhenUsed/>
    <w:rsid w:val="0081183A"/>
    <w:rPr>
      <w:color w:val="0000FF"/>
      <w:u w:val="single"/>
    </w:rPr>
  </w:style>
  <w:style w:type="character" w:customStyle="1" w:styleId="zts2">
    <w:name w:val="z_ts2"/>
    <w:basedOn w:val="Policepardfaut"/>
    <w:rsid w:val="00BF4831"/>
  </w:style>
  <w:style w:type="character" w:customStyle="1" w:styleId="dicpy">
    <w:name w:val="dicpy"/>
    <w:basedOn w:val="Policepardfaut"/>
    <w:rsid w:val="00BF4831"/>
  </w:style>
  <w:style w:type="character" w:styleId="lev">
    <w:name w:val="Strong"/>
    <w:basedOn w:val="Policepardfaut"/>
    <w:uiPriority w:val="22"/>
    <w:qFormat/>
    <w:rsid w:val="00294AAE"/>
    <w:rPr>
      <w:b/>
      <w:bCs/>
    </w:rPr>
  </w:style>
  <w:style w:type="character" w:styleId="Lienhypertextesuivivisit">
    <w:name w:val="FollowedHyperlink"/>
    <w:basedOn w:val="Policepardfaut"/>
    <w:uiPriority w:val="99"/>
    <w:semiHidden/>
    <w:unhideWhenUsed/>
    <w:rsid w:val="00E86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058">
      <w:bodyDiv w:val="1"/>
      <w:marLeft w:val="0"/>
      <w:marRight w:val="0"/>
      <w:marTop w:val="0"/>
      <w:marBottom w:val="0"/>
      <w:divBdr>
        <w:top w:val="none" w:sz="0" w:space="0" w:color="auto"/>
        <w:left w:val="none" w:sz="0" w:space="0" w:color="auto"/>
        <w:bottom w:val="none" w:sz="0" w:space="0" w:color="auto"/>
        <w:right w:val="none" w:sz="0" w:space="0" w:color="auto"/>
      </w:divBdr>
    </w:div>
    <w:div w:id="74933707">
      <w:bodyDiv w:val="1"/>
      <w:marLeft w:val="0"/>
      <w:marRight w:val="0"/>
      <w:marTop w:val="0"/>
      <w:marBottom w:val="0"/>
      <w:divBdr>
        <w:top w:val="none" w:sz="0" w:space="0" w:color="auto"/>
        <w:left w:val="none" w:sz="0" w:space="0" w:color="auto"/>
        <w:bottom w:val="none" w:sz="0" w:space="0" w:color="auto"/>
        <w:right w:val="none" w:sz="0" w:space="0" w:color="auto"/>
      </w:divBdr>
    </w:div>
    <w:div w:id="252864840">
      <w:bodyDiv w:val="1"/>
      <w:marLeft w:val="0"/>
      <w:marRight w:val="0"/>
      <w:marTop w:val="0"/>
      <w:marBottom w:val="0"/>
      <w:divBdr>
        <w:top w:val="none" w:sz="0" w:space="0" w:color="auto"/>
        <w:left w:val="none" w:sz="0" w:space="0" w:color="auto"/>
        <w:bottom w:val="none" w:sz="0" w:space="0" w:color="auto"/>
        <w:right w:val="none" w:sz="0" w:space="0" w:color="auto"/>
      </w:divBdr>
    </w:div>
    <w:div w:id="430662270">
      <w:bodyDiv w:val="1"/>
      <w:marLeft w:val="0"/>
      <w:marRight w:val="0"/>
      <w:marTop w:val="0"/>
      <w:marBottom w:val="0"/>
      <w:divBdr>
        <w:top w:val="none" w:sz="0" w:space="0" w:color="auto"/>
        <w:left w:val="none" w:sz="0" w:space="0" w:color="auto"/>
        <w:bottom w:val="none" w:sz="0" w:space="0" w:color="auto"/>
        <w:right w:val="none" w:sz="0" w:space="0" w:color="auto"/>
      </w:divBdr>
    </w:div>
    <w:div w:id="476609385">
      <w:bodyDiv w:val="1"/>
      <w:marLeft w:val="0"/>
      <w:marRight w:val="0"/>
      <w:marTop w:val="0"/>
      <w:marBottom w:val="0"/>
      <w:divBdr>
        <w:top w:val="none" w:sz="0" w:space="0" w:color="auto"/>
        <w:left w:val="none" w:sz="0" w:space="0" w:color="auto"/>
        <w:bottom w:val="none" w:sz="0" w:space="0" w:color="auto"/>
        <w:right w:val="none" w:sz="0" w:space="0" w:color="auto"/>
      </w:divBdr>
    </w:div>
    <w:div w:id="694043866">
      <w:bodyDiv w:val="1"/>
      <w:marLeft w:val="0"/>
      <w:marRight w:val="0"/>
      <w:marTop w:val="0"/>
      <w:marBottom w:val="0"/>
      <w:divBdr>
        <w:top w:val="none" w:sz="0" w:space="0" w:color="auto"/>
        <w:left w:val="none" w:sz="0" w:space="0" w:color="auto"/>
        <w:bottom w:val="none" w:sz="0" w:space="0" w:color="auto"/>
        <w:right w:val="none" w:sz="0" w:space="0" w:color="auto"/>
      </w:divBdr>
    </w:div>
    <w:div w:id="1118599732">
      <w:bodyDiv w:val="1"/>
      <w:marLeft w:val="0"/>
      <w:marRight w:val="0"/>
      <w:marTop w:val="0"/>
      <w:marBottom w:val="0"/>
      <w:divBdr>
        <w:top w:val="none" w:sz="0" w:space="0" w:color="auto"/>
        <w:left w:val="none" w:sz="0" w:space="0" w:color="auto"/>
        <w:bottom w:val="none" w:sz="0" w:space="0" w:color="auto"/>
        <w:right w:val="none" w:sz="0" w:space="0" w:color="auto"/>
      </w:divBdr>
    </w:div>
    <w:div w:id="1218778397">
      <w:bodyDiv w:val="1"/>
      <w:marLeft w:val="0"/>
      <w:marRight w:val="0"/>
      <w:marTop w:val="0"/>
      <w:marBottom w:val="0"/>
      <w:divBdr>
        <w:top w:val="none" w:sz="0" w:space="0" w:color="auto"/>
        <w:left w:val="none" w:sz="0" w:space="0" w:color="auto"/>
        <w:bottom w:val="none" w:sz="0" w:space="0" w:color="auto"/>
        <w:right w:val="none" w:sz="0" w:space="0" w:color="auto"/>
      </w:divBdr>
      <w:divsChild>
        <w:div w:id="825823839">
          <w:marLeft w:val="1230"/>
          <w:marRight w:val="0"/>
          <w:marTop w:val="0"/>
          <w:marBottom w:val="0"/>
          <w:divBdr>
            <w:top w:val="none" w:sz="0" w:space="0" w:color="auto"/>
            <w:left w:val="none" w:sz="0" w:space="0" w:color="auto"/>
            <w:bottom w:val="none" w:sz="0" w:space="0" w:color="auto"/>
            <w:right w:val="none" w:sz="0" w:space="0" w:color="auto"/>
          </w:divBdr>
        </w:div>
      </w:divsChild>
    </w:div>
    <w:div w:id="1704553358">
      <w:bodyDiv w:val="1"/>
      <w:marLeft w:val="0"/>
      <w:marRight w:val="0"/>
      <w:marTop w:val="0"/>
      <w:marBottom w:val="0"/>
      <w:divBdr>
        <w:top w:val="none" w:sz="0" w:space="0" w:color="auto"/>
        <w:left w:val="none" w:sz="0" w:space="0" w:color="auto"/>
        <w:bottom w:val="none" w:sz="0" w:space="0" w:color="auto"/>
        <w:right w:val="none" w:sz="0" w:space="0" w:color="auto"/>
      </w:divBdr>
    </w:div>
    <w:div w:id="18700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Glossary/Terms?ID=126" TargetMode="External"/><Relationship Id="rId3" Type="http://schemas.openxmlformats.org/officeDocument/2006/relationships/webSettings" Target="webSettings.xml"/><Relationship Id="rId7" Type="http://schemas.openxmlformats.org/officeDocument/2006/relationships/hyperlink" Target="http://lsc.chineselegalculture.org/eC/DQLL_1740/5.3.3.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sc.chineselegalculture.org/eC/DQLL_1740/5.3.1.76.2" TargetMode="External"/><Relationship Id="rId5" Type="http://schemas.openxmlformats.org/officeDocument/2006/relationships/hyperlink" Target="https://lsc.chineselegalculture.org/eC/DQLL_1740/5.3.1.76" TargetMode="External"/><Relationship Id="rId10" Type="http://schemas.openxmlformats.org/officeDocument/2006/relationships/theme" Target="theme/theme1.xml"/><Relationship Id="rId4" Type="http://schemas.openxmlformats.org/officeDocument/2006/relationships/hyperlink" Target="https://lsc.chineselegalculture.org/eC/DQLL_1740/5.1.2.31"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5</cp:revision>
  <dcterms:created xsi:type="dcterms:W3CDTF">2021-03-18T04:18:00Z</dcterms:created>
  <dcterms:modified xsi:type="dcterms:W3CDTF">2021-04-30T09:05:00Z</dcterms:modified>
</cp:coreProperties>
</file>