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85" w:rsidRDefault="00DA2A85" w:rsidP="00DA2A85">
      <w:pPr>
        <w:ind w:left="1230"/>
        <w:rPr>
          <w:rFonts w:ascii="Times New Roman" w:eastAsia="Times New Roman" w:hAnsi="Times New Roman" w:cs="Times New Roman"/>
        </w:rPr>
      </w:pPr>
      <w:r w:rsidRPr="00DA2A85">
        <w:rPr>
          <w:rFonts w:ascii="Times New Roman" w:eastAsia="Times New Roman" w:hAnsi="Times New Roman" w:cs="Times New Roman"/>
        </w:rPr>
        <w:fldChar w:fldCharType="begin"/>
      </w:r>
      <w:r w:rsidRPr="00DA2A85">
        <w:rPr>
          <w:rFonts w:ascii="Times New Roman" w:eastAsia="Times New Roman" w:hAnsi="Times New Roman" w:cs="Times New Roman"/>
        </w:rPr>
        <w:instrText xml:space="preserve"> HYPERLINK "https://lsc.chineselegalculture.org/eC/DQLL_1740/5.4.2.174" </w:instrText>
      </w:r>
      <w:r w:rsidRPr="00DA2A85">
        <w:rPr>
          <w:rFonts w:ascii="Times New Roman" w:eastAsia="Times New Roman" w:hAnsi="Times New Roman" w:cs="Times New Roman"/>
        </w:rPr>
        <w:fldChar w:fldCharType="separate"/>
      </w:r>
      <w:r w:rsidRPr="00DA2A85">
        <w:rPr>
          <w:rFonts w:ascii="MS Mincho" w:eastAsia="MS Mincho" w:hAnsi="MS Mincho" w:cs="MS Mincho" w:hint="eastAsia"/>
          <w:color w:val="0000FF"/>
          <w:u w:val="single"/>
        </w:rPr>
        <w:t>律</w:t>
      </w:r>
      <w:r w:rsidRPr="00DA2A85">
        <w:rPr>
          <w:rFonts w:ascii="Times New Roman" w:eastAsia="Times New Roman" w:hAnsi="Times New Roman" w:cs="Times New Roman"/>
          <w:color w:val="0000FF"/>
          <w:u w:val="single"/>
        </w:rPr>
        <w:t>/</w:t>
      </w:r>
      <w:proofErr w:type="spellStart"/>
      <w:r w:rsidRPr="00DA2A85">
        <w:rPr>
          <w:rFonts w:ascii="Times New Roman" w:eastAsia="Times New Roman" w:hAnsi="Times New Roman" w:cs="Times New Roman"/>
          <w:color w:val="0000FF"/>
          <w:u w:val="single"/>
        </w:rPr>
        <w:t>lü</w:t>
      </w:r>
      <w:proofErr w:type="spellEnd"/>
      <w:r w:rsidRPr="00DA2A85">
        <w:rPr>
          <w:rFonts w:ascii="Times New Roman" w:eastAsia="Times New Roman" w:hAnsi="Times New Roman" w:cs="Times New Roman"/>
          <w:color w:val="0000FF"/>
          <w:u w:val="single"/>
        </w:rPr>
        <w:t xml:space="preserve"> 174 | </w:t>
      </w:r>
      <w:proofErr w:type="spellStart"/>
      <w:r w:rsidRPr="00DA2A85">
        <w:rPr>
          <w:rFonts w:ascii="Times New Roman" w:eastAsia="Times New Roman" w:hAnsi="Times New Roman" w:cs="Times New Roman"/>
          <w:color w:val="0000FF"/>
          <w:u w:val="single"/>
        </w:rPr>
        <w:t>Gongcha</w:t>
      </w:r>
      <w:proofErr w:type="spellEnd"/>
      <w:r w:rsidRPr="00DA2A85"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proofErr w:type="spellStart"/>
      <w:r w:rsidRPr="00DA2A85">
        <w:rPr>
          <w:rFonts w:ascii="Times New Roman" w:eastAsia="Times New Roman" w:hAnsi="Times New Roman" w:cs="Times New Roman"/>
          <w:color w:val="0000FF"/>
          <w:u w:val="single"/>
        </w:rPr>
        <w:t>renyuan</w:t>
      </w:r>
      <w:proofErr w:type="spellEnd"/>
      <w:r w:rsidRPr="00DA2A85"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proofErr w:type="spellStart"/>
      <w:r w:rsidRPr="00DA2A85">
        <w:rPr>
          <w:rFonts w:ascii="Times New Roman" w:eastAsia="Times New Roman" w:hAnsi="Times New Roman" w:cs="Times New Roman"/>
          <w:color w:val="0000FF"/>
          <w:u w:val="single"/>
        </w:rPr>
        <w:t>qiling</w:t>
      </w:r>
      <w:proofErr w:type="spellEnd"/>
      <w:r w:rsidRPr="00DA2A85"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proofErr w:type="spellStart"/>
      <w:r w:rsidRPr="00DA2A85">
        <w:rPr>
          <w:rFonts w:ascii="Times New Roman" w:eastAsia="Times New Roman" w:hAnsi="Times New Roman" w:cs="Times New Roman"/>
          <w:color w:val="0000FF"/>
          <w:u w:val="single"/>
        </w:rPr>
        <w:t>zhangguan</w:t>
      </w:r>
      <w:proofErr w:type="spellEnd"/>
      <w:r w:rsidRPr="00DA2A85"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 w:rsidRPr="00DA2A85">
        <w:rPr>
          <w:rFonts w:ascii="MS Mincho" w:eastAsia="MS Mincho" w:hAnsi="MS Mincho" w:cs="MS Mincho" w:hint="eastAsia"/>
          <w:color w:val="0000FF"/>
          <w:u w:val="single"/>
        </w:rPr>
        <w:t>公差人員欺陵長官</w:t>
      </w:r>
      <w:r w:rsidRPr="00DA2A85">
        <w:rPr>
          <w:rFonts w:ascii="Times New Roman" w:eastAsia="Times New Roman" w:hAnsi="Times New Roman" w:cs="Times New Roman"/>
        </w:rPr>
        <w:fldChar w:fldCharType="end"/>
      </w:r>
    </w:p>
    <w:p w:rsidR="00F119C2" w:rsidRPr="00F119C2" w:rsidRDefault="00F119C2" w:rsidP="00F119C2">
      <w:pPr>
        <w:rPr>
          <w:rFonts w:ascii="Times" w:eastAsia="Times New Roman" w:hAnsi="Times" w:cs="Times New Roman"/>
          <w:sz w:val="20"/>
          <w:szCs w:val="20"/>
          <w:lang w:eastAsia="zh-TW"/>
        </w:rPr>
      </w:pPr>
      <w:r w:rsidRPr="00F119C2">
        <w:rPr>
          <w:rFonts w:ascii="Times" w:eastAsia="MS Mincho" w:hAnsi="Times" w:cs="MS Mincho"/>
          <w:sz w:val="20"/>
          <w:szCs w:val="20"/>
          <w:lang w:eastAsia="zh-TW"/>
        </w:rPr>
        <w:t>此仍</w:t>
      </w:r>
      <w:r w:rsidRPr="00F119C2">
        <w:rPr>
          <w:rFonts w:ascii="Times" w:eastAsia="MS Mincho" w:hAnsi="Times" w:cs="MS Mincho"/>
          <w:color w:val="8B0000"/>
          <w:sz w:val="20"/>
          <w:szCs w:val="20"/>
          <w:lang w:eastAsia="zh-TW"/>
        </w:rPr>
        <w:t>明律</w:t>
      </w:r>
      <w:r w:rsidRPr="00F119C2">
        <w:rPr>
          <w:rFonts w:ascii="Times" w:eastAsia="MS Mincho" w:hAnsi="Times" w:cs="MS Mincho"/>
          <w:sz w:val="20"/>
          <w:szCs w:val="20"/>
          <w:lang w:eastAsia="zh-TW"/>
        </w:rPr>
        <w:t>，</w:t>
      </w:r>
      <w:r w:rsidRPr="00F119C2">
        <w:rPr>
          <w:rFonts w:ascii="Times" w:eastAsia="MS Mincho" w:hAnsi="Times" w:cs="MS Mincho"/>
          <w:color w:val="8B0000"/>
          <w:sz w:val="20"/>
          <w:szCs w:val="20"/>
          <w:lang w:eastAsia="zh-TW"/>
        </w:rPr>
        <w:t>雍正三年</w:t>
      </w:r>
      <w:r w:rsidRPr="00F119C2">
        <w:rPr>
          <w:rFonts w:ascii="Times" w:eastAsia="MS Mincho" w:hAnsi="Times" w:cs="MS Mincho"/>
          <w:sz w:val="20"/>
          <w:szCs w:val="20"/>
          <w:lang w:eastAsia="zh-TW"/>
        </w:rPr>
        <w:t>増刪，其小註係</w:t>
      </w:r>
      <w:r w:rsidRPr="00F119C2">
        <w:rPr>
          <w:rFonts w:ascii="Times" w:eastAsia="MS Mincho" w:hAnsi="Times" w:cs="MS Mincho"/>
          <w:color w:val="8B0000"/>
          <w:sz w:val="20"/>
          <w:szCs w:val="20"/>
          <w:lang w:eastAsia="zh-TW"/>
        </w:rPr>
        <w:t>順治三年</w:t>
      </w:r>
      <w:r w:rsidRPr="00F119C2">
        <w:rPr>
          <w:rFonts w:ascii="Times" w:eastAsia="MS Mincho" w:hAnsi="Times" w:cs="MS Mincho"/>
          <w:sz w:val="20"/>
          <w:szCs w:val="20"/>
          <w:lang w:eastAsia="zh-TW"/>
        </w:rPr>
        <w:t>添入</w:t>
      </w:r>
      <w:r w:rsidRPr="00F119C2">
        <w:rPr>
          <w:rFonts w:ascii="Times" w:eastAsia="MS Mincho" w:hAnsi="Times" w:cs="MS Mincho"/>
          <w:sz w:val="20"/>
          <w:szCs w:val="20"/>
          <w:lang w:eastAsia="zh-TW"/>
        </w:rPr>
        <w:t xml:space="preserve">. Le </w:t>
      </w:r>
      <w:proofErr w:type="spellStart"/>
      <w:r w:rsidRPr="00F119C2">
        <w:rPr>
          <w:rFonts w:ascii="Times" w:eastAsia="MS Mincho" w:hAnsi="Times" w:cs="MS Mincho"/>
          <w:sz w:val="20"/>
          <w:szCs w:val="20"/>
          <w:lang w:eastAsia="zh-TW"/>
        </w:rPr>
        <w:t>lü</w:t>
      </w:r>
      <w:proofErr w:type="spellEnd"/>
      <w:r w:rsidRPr="00F119C2">
        <w:rPr>
          <w:rFonts w:ascii="Times" w:eastAsia="MS Mincho" w:hAnsi="Times" w:cs="MS Mincho"/>
          <w:sz w:val="20"/>
          <w:szCs w:val="20"/>
          <w:lang w:eastAsia="zh-TW"/>
        </w:rPr>
        <w:t xml:space="preserve"> est légèrement différent du 193 DML : ajout de </w:t>
      </w:r>
      <w:r w:rsidRPr="00F119C2">
        <w:rPr>
          <w:rFonts w:ascii="MS Mincho" w:eastAsia="MS Mincho" w:hAnsi="MS Mincho" w:cs="MS Mincho" w:hint="eastAsia"/>
          <w:color w:val="FF0000"/>
          <w:sz w:val="20"/>
          <w:szCs w:val="20"/>
        </w:rPr>
        <w:t>知縣者</w:t>
      </w:r>
      <w:r w:rsidRPr="00F119C2">
        <w:rPr>
          <w:rFonts w:ascii="Times" w:eastAsia="MS Mincho" w:hAnsi="Times" w:cs="MS Mincho"/>
          <w:sz w:val="20"/>
          <w:szCs w:val="20"/>
          <w:lang w:eastAsia="zh-TW"/>
        </w:rPr>
        <w:t xml:space="preserve">, suppression de </w:t>
      </w:r>
      <w:r w:rsidRPr="00F119C2">
        <w:rPr>
          <w:rFonts w:ascii="MS Mincho" w:eastAsia="MS Mincho" w:hAnsi="MS Mincho" w:cs="MS Mincho" w:hint="eastAsia"/>
          <w:color w:val="FF0000"/>
          <w:sz w:val="20"/>
          <w:szCs w:val="20"/>
        </w:rPr>
        <w:t>附過還役，歷過俸月不准</w:t>
      </w:r>
      <w:r w:rsidRPr="00F119C2">
        <w:rPr>
          <w:rStyle w:val="Appelnotedebasdep"/>
          <w:rFonts w:ascii="Times" w:eastAsia="MS Mincho" w:hAnsi="Times" w:cs="MS Mincho"/>
          <w:sz w:val="20"/>
          <w:szCs w:val="20"/>
          <w:lang w:eastAsia="zh-TW"/>
        </w:rPr>
        <w:footnoteReference w:id="1"/>
      </w:r>
      <w:r w:rsidR="00463FD6">
        <w:rPr>
          <w:rFonts w:ascii="Times" w:eastAsia="MS Mincho" w:hAnsi="Times" w:cs="MS Mincho"/>
          <w:sz w:val="20"/>
          <w:szCs w:val="20"/>
          <w:lang w:eastAsia="zh-TW"/>
        </w:rPr>
        <w:t>.</w:t>
      </w:r>
      <w:bookmarkStart w:id="0" w:name="_GoBack"/>
      <w:bookmarkEnd w:id="0"/>
    </w:p>
    <w:p w:rsidR="00F119C2" w:rsidRPr="00DA2A85" w:rsidRDefault="00F119C2" w:rsidP="00DA2A85">
      <w:pPr>
        <w:ind w:left="1230"/>
        <w:rPr>
          <w:rFonts w:ascii="Times New Roman" w:eastAsia="Times New Roman" w:hAnsi="Times New Roman" w:cs="Times New Roman"/>
          <w:lang w:eastAsia="zh-TW"/>
        </w:rPr>
      </w:pPr>
    </w:p>
    <w:p w:rsidR="00DA2A85" w:rsidRDefault="00DA2A85" w:rsidP="00DA2A85">
      <w:pPr>
        <w:rPr>
          <w:rFonts w:ascii="MS Mincho" w:eastAsia="MS Mincho" w:hAnsi="MS Mincho" w:cs="MS Mincho"/>
          <w:lang w:eastAsia="zh-TW"/>
        </w:rPr>
      </w:pPr>
      <w:r w:rsidRPr="00DA2A85">
        <w:rPr>
          <w:rFonts w:ascii="MS Mincho" w:eastAsia="MS Mincho" w:hAnsi="MS Mincho" w:cs="MS Mincho" w:hint="eastAsia"/>
        </w:rPr>
        <w:t>凡公差人員在外不循禮法，</w:t>
      </w:r>
      <w:r w:rsidRPr="00DA2A85">
        <w:rPr>
          <w:rFonts w:ascii="MS Mincho" w:eastAsia="MS Mincho" w:hAnsi="MS Mincho" w:cs="MS Mincho" w:hint="eastAsia"/>
          <w:color w:val="3370FF"/>
          <w:sz w:val="21"/>
          <w:szCs w:val="21"/>
        </w:rPr>
        <w:t>言語傲慢。</w:t>
      </w:r>
      <w:r w:rsidRPr="00DA2A85">
        <w:rPr>
          <w:rFonts w:ascii="MS Mincho" w:eastAsia="MS Mincho" w:hAnsi="MS Mincho" w:cs="MS Mincho" w:hint="eastAsia"/>
        </w:rPr>
        <w:t>欺陵守禦官及知府、知州、</w:t>
      </w:r>
      <w:r w:rsidRPr="00F119C2">
        <w:rPr>
          <w:rFonts w:ascii="MS Mincho" w:eastAsia="MS Mincho" w:hAnsi="MS Mincho" w:cs="MS Mincho" w:hint="eastAsia"/>
          <w:color w:val="FF0000"/>
        </w:rPr>
        <w:t>知縣者</w:t>
      </w:r>
      <w:r w:rsidRPr="00DA2A85">
        <w:rPr>
          <w:rFonts w:ascii="MS Mincho" w:eastAsia="MS Mincho" w:hAnsi="MS Mincho" w:cs="MS Mincho" w:hint="eastAsia"/>
        </w:rPr>
        <w:t>，杖六十。若校尉有犯，杖七十。</w:t>
      </w:r>
      <w:r w:rsidRPr="00DA2A85">
        <w:rPr>
          <w:rFonts w:ascii="MS Mincho" w:eastAsia="MS Mincho" w:hAnsi="MS Mincho" w:cs="MS Mincho" w:hint="eastAsia"/>
          <w:lang w:eastAsia="zh-TW"/>
        </w:rPr>
        <w:t>祇候、禁子有犯，杖八十</w:t>
      </w:r>
      <w:r w:rsidRPr="00DA2A85">
        <w:rPr>
          <w:rFonts w:ascii="MS Mincho" w:eastAsia="MS Mincho" w:hAnsi="MS Mincho" w:cs="MS Mincho"/>
          <w:lang w:eastAsia="zh-TW"/>
        </w:rPr>
        <w:t>。</w:t>
      </w:r>
    </w:p>
    <w:p w:rsidR="006A0A46" w:rsidRDefault="006A0A46" w:rsidP="00DA2A85">
      <w:pPr>
        <w:rPr>
          <w:rFonts w:ascii="Times New Roman" w:eastAsia="Times New Roman" w:hAnsi="Times New Roman" w:cs="Times New Roman"/>
          <w:lang w:eastAsia="zh-TW"/>
        </w:rPr>
      </w:pPr>
    </w:p>
    <w:p w:rsidR="00F119C2" w:rsidRPr="00DA2A85" w:rsidRDefault="00F119C2" w:rsidP="00DA2A85">
      <w:pPr>
        <w:rPr>
          <w:rFonts w:ascii="Times New Roman" w:eastAsia="Times New Roman" w:hAnsi="Times New Roman" w:cs="Times New Roman" w:hint="eastAsia"/>
          <w:lang w:eastAsia="zh-TW"/>
        </w:rPr>
      </w:pPr>
    </w:p>
    <w:p w:rsidR="00DA2A85" w:rsidRDefault="007F2072" w:rsidP="00DA2A85">
      <w:pPr>
        <w:ind w:left="1530"/>
        <w:rPr>
          <w:rFonts w:ascii="Times New Roman" w:eastAsia="Times New Roman" w:hAnsi="Times New Roman" w:cs="Times New Roman"/>
          <w:color w:val="0000FF"/>
          <w:u w:val="single"/>
          <w:lang w:eastAsia="zh-TW"/>
        </w:rPr>
      </w:pPr>
      <w:hyperlink r:id="rId6" w:history="1">
        <w:r w:rsidR="00DA2A85" w:rsidRPr="007A1B0A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DA2A85" w:rsidRPr="007A1B0A">
          <w:rPr>
            <w:rFonts w:ascii="Times New Roman" w:eastAsia="Times New Roman" w:hAnsi="Times New Roman" w:cs="Times New Roman"/>
            <w:color w:val="0000FF"/>
            <w:u w:val="single"/>
            <w:lang w:eastAsia="zh-TW"/>
          </w:rPr>
          <w:t>/</w:t>
        </w:r>
        <w:proofErr w:type="spellStart"/>
        <w:r w:rsidR="00DA2A85" w:rsidRPr="007A1B0A">
          <w:rPr>
            <w:rFonts w:ascii="Times New Roman" w:eastAsia="Times New Roman" w:hAnsi="Times New Roman" w:cs="Times New Roman"/>
            <w:color w:val="0000FF"/>
            <w:u w:val="single"/>
            <w:lang w:eastAsia="zh-TW"/>
          </w:rPr>
          <w:t>tiaoli</w:t>
        </w:r>
        <w:proofErr w:type="spellEnd"/>
        <w:r w:rsidR="00DA2A85" w:rsidRPr="007A1B0A">
          <w:rPr>
            <w:rFonts w:ascii="Times New Roman" w:eastAsia="Times New Roman" w:hAnsi="Times New Roman" w:cs="Times New Roman"/>
            <w:color w:val="0000FF"/>
            <w:u w:val="single"/>
            <w:lang w:eastAsia="zh-TW"/>
          </w:rPr>
          <w:t xml:space="preserve"> 1 </w:t>
        </w:r>
      </w:hyperlink>
    </w:p>
    <w:p w:rsidR="00123D78" w:rsidRDefault="00123D78" w:rsidP="00123D78">
      <w:pPr>
        <w:rPr>
          <w:rFonts w:ascii="MS Mincho" w:eastAsia="MS Mincho" w:hAnsi="MS Mincho" w:cs="MS Mincho"/>
          <w:sz w:val="20"/>
          <w:szCs w:val="20"/>
          <w:lang w:eastAsia="zh-TW"/>
        </w:rPr>
      </w:pPr>
      <w:r w:rsidRPr="00123D78">
        <w:rPr>
          <w:rFonts w:ascii="MS Mincho" w:eastAsia="MS Mincho" w:hAnsi="MS Mincho" w:cs="MS Mincho" w:hint="eastAsia"/>
          <w:sz w:val="20"/>
          <w:szCs w:val="20"/>
          <w:lang w:eastAsia="zh-TW"/>
        </w:rPr>
        <w:t>此條係前明大誥，</w:t>
      </w:r>
      <w:r w:rsidRPr="00123D78">
        <w:rPr>
          <w:rFonts w:ascii="MS Mincho" w:eastAsia="MS Mincho" w:hAnsi="MS Mincho" w:cs="MS Mincho" w:hint="eastAsia"/>
          <w:color w:val="8B0000"/>
          <w:sz w:val="20"/>
          <w:szCs w:val="20"/>
          <w:lang w:eastAsia="zh-TW"/>
        </w:rPr>
        <w:t>雍正三年</w:t>
      </w:r>
      <w:r w:rsidRPr="00123D78">
        <w:rPr>
          <w:rFonts w:ascii="MS Mincho" w:eastAsia="MS Mincho" w:hAnsi="MS Mincho" w:cs="MS Mincho" w:hint="eastAsia"/>
          <w:sz w:val="20"/>
          <w:szCs w:val="20"/>
          <w:lang w:eastAsia="zh-TW"/>
        </w:rPr>
        <w:t>修改，</w:t>
      </w:r>
      <w:r w:rsidRPr="00123D78">
        <w:rPr>
          <w:rFonts w:ascii="MS Mincho" w:eastAsia="MS Mincho" w:hAnsi="MS Mincho" w:cs="MS Mincho" w:hint="eastAsia"/>
          <w:color w:val="8B0000"/>
          <w:sz w:val="20"/>
          <w:szCs w:val="20"/>
          <w:lang w:eastAsia="zh-TW"/>
        </w:rPr>
        <w:t>乾隆五年</w:t>
      </w:r>
      <w:r w:rsidRPr="00123D78">
        <w:rPr>
          <w:rFonts w:ascii="MS Mincho" w:eastAsia="MS Mincho" w:hAnsi="MS Mincho" w:cs="MS Mincho" w:hint="eastAsia"/>
          <w:sz w:val="20"/>
          <w:szCs w:val="20"/>
          <w:lang w:eastAsia="zh-TW"/>
        </w:rPr>
        <w:t>改</w:t>
      </w:r>
      <w:r w:rsidRPr="00123D78">
        <w:rPr>
          <w:rFonts w:ascii="MS Mincho" w:eastAsia="MS Mincho" w:hAnsi="MS Mincho" w:cs="MS Mincho"/>
          <w:sz w:val="20"/>
          <w:szCs w:val="20"/>
          <w:lang w:eastAsia="zh-TW"/>
        </w:rPr>
        <w:t>定</w:t>
      </w:r>
    </w:p>
    <w:p w:rsidR="00123D78" w:rsidRPr="00123D78" w:rsidRDefault="00123D78" w:rsidP="00123D78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 w:rsidRPr="00123D78">
        <w:rPr>
          <w:rFonts w:ascii="MS Mincho" w:eastAsia="MS Mincho" w:hAnsi="MS Mincho" w:cs="MS Mincho" w:hint="eastAsia"/>
          <w:sz w:val="20"/>
          <w:szCs w:val="20"/>
          <w:lang w:eastAsia="zh-TW"/>
        </w:rPr>
        <w:t>謹按。所以肅公堂之禮也。直行御道者，杖八十。宮殿者，杖一百。此處必係三項兼備方擬徒罪之處，並未敘明。</w:t>
      </w:r>
      <w:r w:rsidRPr="00123D78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3D78">
        <w:rPr>
          <w:rFonts w:ascii="Times New Roman" w:eastAsia="Times New Roman" w:hAnsi="Times New Roman" w:cs="Times New Roman"/>
          <w:color w:val="C0C0C0"/>
          <w:sz w:val="20"/>
          <w:szCs w:val="20"/>
          <w:lang w:eastAsia="zh-TW"/>
        </w:rPr>
        <w:t>□</w:t>
      </w:r>
      <w:r w:rsidRPr="00123D78">
        <w:rPr>
          <w:rFonts w:ascii="MS Mincho" w:eastAsia="MS Mincho" w:hAnsi="MS Mincho" w:cs="MS Mincho" w:hint="eastAsia"/>
          <w:sz w:val="20"/>
          <w:szCs w:val="20"/>
          <w:lang w:eastAsia="zh-TW"/>
        </w:rPr>
        <w:t>此罪其越禮犯分也，惟僅止入正門，或馳當道，即擬徒罪，</w:t>
      </w:r>
      <w:r w:rsidRPr="00123D78">
        <w:rPr>
          <w:rFonts w:ascii="MS Mincho" w:eastAsia="MS Mincho" w:hAnsi="MS Mincho" w:cs="MS Mincho" w:hint="eastAsia"/>
          <w:color w:val="FF0000"/>
          <w:sz w:val="20"/>
          <w:szCs w:val="20"/>
          <w:lang w:eastAsia="zh-TW"/>
        </w:rPr>
        <w:t>似嫌太重</w:t>
      </w:r>
      <w:r w:rsidRPr="00123D78">
        <w:rPr>
          <w:rFonts w:ascii="MS Mincho" w:eastAsia="MS Mincho" w:hAnsi="MS Mincho" w:cs="MS Mincho" w:hint="eastAsia"/>
          <w:sz w:val="20"/>
          <w:szCs w:val="20"/>
          <w:lang w:eastAsia="zh-TW"/>
        </w:rPr>
        <w:t>。三項中尤以坐公座為重，非坐公座，</w:t>
      </w:r>
      <w:r w:rsidRPr="00123D78">
        <w:rPr>
          <w:rFonts w:ascii="MS Mincho" w:eastAsia="MS Mincho" w:hAnsi="MS Mincho" w:cs="MS Mincho" w:hint="eastAsia"/>
          <w:color w:val="FF0000"/>
          <w:sz w:val="20"/>
          <w:szCs w:val="20"/>
          <w:lang w:eastAsia="zh-TW"/>
        </w:rPr>
        <w:t>似不問徒罪</w:t>
      </w:r>
      <w:r w:rsidRPr="00123D78">
        <w:rPr>
          <w:rFonts w:ascii="MS Mincho" w:eastAsia="MS Mincho" w:hAnsi="MS Mincho" w:cs="MS Mincho"/>
          <w:color w:val="FF0000"/>
          <w:sz w:val="20"/>
          <w:szCs w:val="20"/>
          <w:lang w:eastAsia="zh-TW"/>
        </w:rPr>
        <w:t>矣</w:t>
      </w:r>
    </w:p>
    <w:p w:rsidR="00123D78" w:rsidRDefault="00123D78" w:rsidP="00123D78"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C</w:t>
      </w:r>
      <w:r w:rsidRPr="00123D78">
        <w:rPr>
          <w:rFonts w:ascii="Times" w:eastAsia="Times New Roman" w:hAnsi="Times" w:cs="Times New Roman"/>
          <w:sz w:val="20"/>
          <w:szCs w:val="20"/>
          <w:lang w:eastAsia="zh-TW"/>
        </w:rPr>
        <w:t xml:space="preserve">orrespond au </w:t>
      </w:r>
      <w:hyperlink r:id="rId7" w:anchor="公差人員欺陵長官" w:history="1">
        <w:r w:rsidRPr="00123D78">
          <w:rPr>
            <w:rStyle w:val="Lienhypertexte"/>
            <w:rFonts w:ascii="Times" w:hAnsi="Times"/>
            <w:color w:val="606020"/>
            <w:sz w:val="20"/>
            <w:szCs w:val="20"/>
          </w:rPr>
          <w:t>公差人員欺陵長官</w:t>
        </w:r>
        <w:r w:rsidRPr="00123D78">
          <w:rPr>
            <w:rStyle w:val="Lienhypertexte"/>
            <w:rFonts w:ascii="Times" w:hAnsi="Times"/>
            <w:color w:val="606020"/>
            <w:sz w:val="20"/>
            <w:szCs w:val="20"/>
          </w:rPr>
          <w:t>-01</w:t>
        </w:r>
      </w:hyperlink>
      <w:r>
        <w:rPr>
          <w:rFonts w:ascii="Times" w:hAnsi="Times"/>
          <w:sz w:val="20"/>
          <w:szCs w:val="20"/>
        </w:rPr>
        <w:t xml:space="preserve"> </w:t>
      </w:r>
      <w:proofErr w:type="spellStart"/>
      <w:r w:rsidRPr="00123D78">
        <w:rPr>
          <w:rFonts w:ascii="Times" w:eastAsia="MS Mincho" w:hAnsi="Times" w:cs="MS Mincho"/>
          <w:sz w:val="20"/>
          <w:szCs w:val="20"/>
        </w:rPr>
        <w:t>ds</w:t>
      </w:r>
      <w:proofErr w:type="spellEnd"/>
      <w:r w:rsidRPr="00123D78">
        <w:rPr>
          <w:rFonts w:ascii="Times" w:eastAsia="MS Mincho" w:hAnsi="Times" w:cs="MS Mincho"/>
          <w:sz w:val="20"/>
          <w:szCs w:val="20"/>
        </w:rPr>
        <w:t xml:space="preserve"> DLCY, sans changement.</w:t>
      </w:r>
    </w:p>
    <w:p w:rsidR="00123D78" w:rsidRPr="00123D78" w:rsidRDefault="00123D78" w:rsidP="00123D78">
      <w:pPr>
        <w:rPr>
          <w:rFonts w:ascii="Times New Roman" w:eastAsia="Times New Roman" w:hAnsi="Times New Roman" w:cs="Times New Roman" w:hint="eastAsia"/>
          <w:sz w:val="20"/>
          <w:szCs w:val="20"/>
          <w:lang w:eastAsia="zh-TW"/>
        </w:rPr>
      </w:pPr>
    </w:p>
    <w:p w:rsidR="00123D78" w:rsidRPr="00DA2A85" w:rsidRDefault="00123D78" w:rsidP="00DA2A85">
      <w:pPr>
        <w:ind w:left="1530"/>
        <w:rPr>
          <w:rFonts w:ascii="Times New Roman" w:eastAsia="Times New Roman" w:hAnsi="Times New Roman" w:cs="Times New Roman"/>
          <w:lang w:eastAsia="zh-TW"/>
        </w:rPr>
      </w:pPr>
    </w:p>
    <w:p w:rsidR="00DA2A85" w:rsidRPr="00DA2A85" w:rsidRDefault="00DA2A85" w:rsidP="00DA2A85">
      <w:pPr>
        <w:rPr>
          <w:rFonts w:ascii="Times New Roman" w:eastAsia="Times New Roman" w:hAnsi="Times New Roman" w:cs="Times New Roman"/>
          <w:lang w:eastAsia="zh-TW"/>
        </w:rPr>
      </w:pPr>
      <w:r w:rsidRPr="00DA2A85">
        <w:rPr>
          <w:rFonts w:ascii="MS Mincho" w:eastAsia="MS Mincho" w:hAnsi="MS Mincho" w:cs="MS Mincho" w:hint="eastAsia"/>
          <w:lang w:eastAsia="zh-TW"/>
        </w:rPr>
        <w:t>公堂乃係民人瞻仰之所，如奴僕、皂隸人等，入正門，馳當道，坐公座者，杖七十、徒一年半。吏員承差人等，加一等。若六部、都察院在京各衙門人役，接奉批差，敢有似前越禮犯分者，許所在官長實封參奏，照例治罪</w:t>
      </w:r>
      <w:r w:rsidRPr="00DA2A85">
        <w:rPr>
          <w:rFonts w:ascii="MS Mincho" w:eastAsia="MS Mincho" w:hAnsi="MS Mincho" w:cs="MS Mincho"/>
          <w:lang w:eastAsia="zh-TW"/>
        </w:rPr>
        <w:t>。</w:t>
      </w:r>
    </w:p>
    <w:p w:rsidR="00922A68" w:rsidRDefault="007F2072">
      <w:pPr>
        <w:rPr>
          <w:lang w:eastAsia="zh-TW"/>
        </w:rPr>
      </w:pPr>
    </w:p>
    <w:sectPr w:rsidR="00922A68" w:rsidSect="00D227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072" w:rsidRDefault="007F2072" w:rsidP="00F119C2">
      <w:r>
        <w:separator/>
      </w:r>
    </w:p>
  </w:endnote>
  <w:endnote w:type="continuationSeparator" w:id="0">
    <w:p w:rsidR="007F2072" w:rsidRDefault="007F2072" w:rsidP="00F1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072" w:rsidRDefault="007F2072" w:rsidP="00F119C2">
      <w:r>
        <w:separator/>
      </w:r>
    </w:p>
  </w:footnote>
  <w:footnote w:type="continuationSeparator" w:id="0">
    <w:p w:rsidR="007F2072" w:rsidRDefault="007F2072" w:rsidP="00F119C2">
      <w:r>
        <w:continuationSeparator/>
      </w:r>
    </w:p>
  </w:footnote>
  <w:footnote w:id="1">
    <w:p w:rsidR="00F119C2" w:rsidRPr="00F119C2" w:rsidRDefault="00F119C2" w:rsidP="00F119C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119C2">
        <w:rPr>
          <w:rStyle w:val="Appelnotedebasdep"/>
          <w:sz w:val="20"/>
          <w:szCs w:val="20"/>
        </w:rPr>
        <w:footnoteRef/>
      </w:r>
      <w:r w:rsidRPr="00F119C2">
        <w:rPr>
          <w:sz w:val="20"/>
          <w:szCs w:val="20"/>
        </w:rPr>
        <w:t xml:space="preserve"> </w:t>
      </w:r>
      <w:hyperlink r:id="rId1" w:history="1">
        <w:r w:rsidRPr="00F119C2">
          <w:rPr>
            <w:rStyle w:val="Lienhypertexte"/>
            <w:rFonts w:ascii="MS Mincho" w:eastAsia="MS Mincho" w:hAnsi="MS Mincho" w:cs="MS Mincho" w:hint="eastAsia"/>
            <w:sz w:val="20"/>
            <w:szCs w:val="20"/>
          </w:rPr>
          <w:t>律</w:t>
        </w:r>
        <w:r w:rsidRPr="00F119C2">
          <w:rPr>
            <w:rStyle w:val="Lienhypertexte"/>
            <w:sz w:val="20"/>
            <w:szCs w:val="20"/>
          </w:rPr>
          <w:t>/</w:t>
        </w:r>
        <w:proofErr w:type="spellStart"/>
        <w:r w:rsidRPr="00F119C2">
          <w:rPr>
            <w:rStyle w:val="Lienhypertexte"/>
            <w:sz w:val="20"/>
            <w:szCs w:val="20"/>
          </w:rPr>
          <w:t>lü</w:t>
        </w:r>
        <w:proofErr w:type="spellEnd"/>
        <w:r w:rsidRPr="00F119C2">
          <w:rPr>
            <w:rStyle w:val="Lienhypertexte"/>
            <w:sz w:val="20"/>
            <w:szCs w:val="20"/>
          </w:rPr>
          <w:t xml:space="preserve"> 193 | </w:t>
        </w:r>
        <w:proofErr w:type="spellStart"/>
        <w:r w:rsidRPr="00F119C2">
          <w:rPr>
            <w:rStyle w:val="Lienhypertexte"/>
            <w:sz w:val="20"/>
            <w:szCs w:val="20"/>
          </w:rPr>
          <w:t>Gongchai</w:t>
        </w:r>
        <w:proofErr w:type="spellEnd"/>
        <w:r w:rsidRPr="00F119C2">
          <w:rPr>
            <w:rStyle w:val="Lienhypertexte"/>
            <w:sz w:val="20"/>
            <w:szCs w:val="20"/>
          </w:rPr>
          <w:t xml:space="preserve"> </w:t>
        </w:r>
        <w:proofErr w:type="spellStart"/>
        <w:r w:rsidRPr="00F119C2">
          <w:rPr>
            <w:rStyle w:val="Lienhypertexte"/>
            <w:sz w:val="20"/>
            <w:szCs w:val="20"/>
          </w:rPr>
          <w:t>renyuan</w:t>
        </w:r>
        <w:proofErr w:type="spellEnd"/>
        <w:r w:rsidRPr="00F119C2">
          <w:rPr>
            <w:rStyle w:val="Lienhypertexte"/>
            <w:sz w:val="20"/>
            <w:szCs w:val="20"/>
          </w:rPr>
          <w:t xml:space="preserve"> </w:t>
        </w:r>
        <w:proofErr w:type="spellStart"/>
        <w:r w:rsidRPr="00F119C2">
          <w:rPr>
            <w:rStyle w:val="Lienhypertexte"/>
            <w:sz w:val="20"/>
            <w:szCs w:val="20"/>
          </w:rPr>
          <w:t>qiling</w:t>
        </w:r>
        <w:proofErr w:type="spellEnd"/>
        <w:r w:rsidRPr="00F119C2">
          <w:rPr>
            <w:rStyle w:val="Lienhypertexte"/>
            <w:sz w:val="20"/>
            <w:szCs w:val="20"/>
          </w:rPr>
          <w:t xml:space="preserve"> </w:t>
        </w:r>
        <w:proofErr w:type="spellStart"/>
        <w:r w:rsidRPr="00F119C2">
          <w:rPr>
            <w:rStyle w:val="Lienhypertexte"/>
            <w:sz w:val="20"/>
            <w:szCs w:val="20"/>
          </w:rPr>
          <w:t>zhangguan</w:t>
        </w:r>
        <w:proofErr w:type="spellEnd"/>
        <w:r w:rsidRPr="00F119C2">
          <w:rPr>
            <w:rStyle w:val="Lienhypertexte"/>
            <w:sz w:val="20"/>
            <w:szCs w:val="20"/>
          </w:rPr>
          <w:t xml:space="preserve"> </w:t>
        </w:r>
        <w:r w:rsidRPr="00F119C2">
          <w:rPr>
            <w:rStyle w:val="Lienhypertexte"/>
            <w:rFonts w:ascii="MS Mincho" w:eastAsia="MS Mincho" w:hAnsi="MS Mincho" w:cs="MS Mincho" w:hint="eastAsia"/>
            <w:sz w:val="20"/>
            <w:szCs w:val="20"/>
          </w:rPr>
          <w:t>公差人員欺凌長官</w:t>
        </w:r>
      </w:hyperlink>
      <w:r w:rsidRPr="00F119C2">
        <w:rPr>
          <w:rFonts w:ascii="MS Mincho" w:eastAsia="MS Mincho" w:hAnsi="MS Mincho" w:cs="MS Mincho" w:hint="eastAsia"/>
          <w:sz w:val="20"/>
          <w:szCs w:val="20"/>
        </w:rPr>
        <w:t>凡公差人員在外，不循禮法，欺凌守禦官及知府、知州者，杖六十，</w:t>
      </w:r>
      <w:r w:rsidRPr="00F119C2">
        <w:rPr>
          <w:rFonts w:ascii="MS Mincho" w:eastAsia="MS Mincho" w:hAnsi="MS Mincho" w:cs="MS Mincho" w:hint="eastAsia"/>
          <w:color w:val="FF0000"/>
          <w:sz w:val="20"/>
          <w:szCs w:val="20"/>
        </w:rPr>
        <w:t>附過還役，歷過俸月不准。</w:t>
      </w:r>
      <w:r w:rsidRPr="00F119C2">
        <w:rPr>
          <w:rFonts w:ascii="MS Mincho" w:eastAsia="MS Mincho" w:hAnsi="MS Mincho" w:cs="MS Mincho" w:hint="eastAsia"/>
          <w:sz w:val="20"/>
          <w:szCs w:val="20"/>
          <w:lang w:eastAsia="zh-TW"/>
        </w:rPr>
        <w:t>若校尉有犯，杖七十。袛候、禁子有犯，杖八十</w:t>
      </w:r>
    </w:p>
    <w:p w:rsidR="00F119C2" w:rsidRDefault="00F119C2">
      <w:pPr>
        <w:pStyle w:val="Notedebasdepage"/>
        <w:rPr>
          <w:lang w:eastAsia="zh-TW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85"/>
    <w:rsid w:val="00011EB6"/>
    <w:rsid w:val="00123D78"/>
    <w:rsid w:val="0013506C"/>
    <w:rsid w:val="002D59FC"/>
    <w:rsid w:val="00360F04"/>
    <w:rsid w:val="00387FEC"/>
    <w:rsid w:val="00463FD6"/>
    <w:rsid w:val="006A0A46"/>
    <w:rsid w:val="0078471E"/>
    <w:rsid w:val="007A1B0A"/>
    <w:rsid w:val="007F2072"/>
    <w:rsid w:val="00982DB3"/>
    <w:rsid w:val="00C235B8"/>
    <w:rsid w:val="00D22777"/>
    <w:rsid w:val="00DA2A85"/>
    <w:rsid w:val="00F119C2"/>
    <w:rsid w:val="00F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A5CE"/>
  <w14:defaultImageDpi w14:val="32767"/>
  <w15:chartTrackingRefBased/>
  <w15:docId w15:val="{1F78C944-C9D4-1944-B2C7-DE57994D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A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semiHidden/>
    <w:unhideWhenUsed/>
    <w:rsid w:val="00DA2A8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19C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19C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11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2768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80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9347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rada.law.kyoto-u.ac.jp/dlcy/dlcy19eu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sc.chineselegalculture.org/eC/DQLL_1740/5.4.2.174.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sc.chineselegalculture.org/eC/DMLJJFL_1610/8.4.2.19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Bourgon</dc:creator>
  <cp:keywords/>
  <dc:description/>
  <cp:lastModifiedBy>Microsoft Office User</cp:lastModifiedBy>
  <cp:revision>4</cp:revision>
  <dcterms:created xsi:type="dcterms:W3CDTF">2021-05-12T12:14:00Z</dcterms:created>
  <dcterms:modified xsi:type="dcterms:W3CDTF">2022-02-08T13:52:00Z</dcterms:modified>
</cp:coreProperties>
</file>