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73DA2" w14:textId="77777777" w:rsidR="008D5527" w:rsidRPr="00B25F91" w:rsidRDefault="008D5527" w:rsidP="00C47AB6">
      <w:pPr>
        <w:pStyle w:val="NormalWeb"/>
        <w:spacing w:before="2" w:after="2"/>
        <w:ind w:left="768"/>
        <w:jc w:val="both"/>
        <w:rPr>
          <w:rFonts w:ascii="Times" w:hAnsi="Times"/>
          <w:sz w:val="22"/>
          <w:szCs w:val="22"/>
        </w:rPr>
      </w:pPr>
      <w:bookmarkStart w:id="0" w:name="lu412"/>
      <w:r w:rsidRPr="00B25F91">
        <w:rPr>
          <w:rFonts w:ascii="Times" w:hAnsi="Times"/>
          <w:sz w:val="22"/>
          <w:szCs w:val="22"/>
        </w:rPr>
        <w:t>條例</w:t>
      </w:r>
      <w:r w:rsidRPr="00B25F91">
        <w:rPr>
          <w:rFonts w:ascii="Times" w:hAnsi="Times"/>
          <w:sz w:val="22"/>
          <w:szCs w:val="22"/>
        </w:rPr>
        <w:t xml:space="preserve"> / </w:t>
      </w:r>
      <w:proofErr w:type="spellStart"/>
      <w:r w:rsidRPr="00B25F91">
        <w:rPr>
          <w:rFonts w:ascii="Times" w:hAnsi="Times"/>
          <w:sz w:val="22"/>
          <w:szCs w:val="22"/>
        </w:rPr>
        <w:t>tiaoli</w:t>
      </w:r>
      <w:proofErr w:type="spellEnd"/>
      <w:r w:rsidR="00B35E11" w:rsidRPr="00B25F91">
        <w:rPr>
          <w:rFonts w:ascii="Times" w:hAnsi="Times"/>
          <w:sz w:val="22"/>
          <w:szCs w:val="22"/>
        </w:rPr>
        <w:t xml:space="preserve"> du DQLL de 1740</w:t>
      </w:r>
      <w:r w:rsidR="00B52DCF" w:rsidRPr="00B25F91">
        <w:rPr>
          <w:rFonts w:ascii="Times" w:hAnsi="Times"/>
          <w:sz w:val="22"/>
          <w:szCs w:val="22"/>
        </w:rPr>
        <w:t xml:space="preserve"> (trad. </w:t>
      </w:r>
      <w:proofErr w:type="spellStart"/>
      <w:r w:rsidR="00B52DCF" w:rsidRPr="00B25F91">
        <w:rPr>
          <w:rFonts w:ascii="Times" w:hAnsi="Times"/>
          <w:sz w:val="22"/>
          <w:szCs w:val="22"/>
        </w:rPr>
        <w:t>Xie</w:t>
      </w:r>
      <w:proofErr w:type="spellEnd"/>
      <w:r w:rsidR="00B52DCF" w:rsidRPr="00B25F91">
        <w:rPr>
          <w:rFonts w:ascii="Times" w:hAnsi="Times"/>
          <w:sz w:val="22"/>
          <w:szCs w:val="22"/>
        </w:rPr>
        <w:t xml:space="preserve"> </w:t>
      </w:r>
      <w:proofErr w:type="spellStart"/>
      <w:r w:rsidR="00B52DCF" w:rsidRPr="00B25F91">
        <w:rPr>
          <w:rFonts w:ascii="Times" w:hAnsi="Times"/>
          <w:sz w:val="22"/>
          <w:szCs w:val="22"/>
        </w:rPr>
        <w:t>Xinzhe</w:t>
      </w:r>
      <w:proofErr w:type="spellEnd"/>
      <w:r w:rsidR="00B52DCF" w:rsidRPr="00B25F91">
        <w:rPr>
          <w:rFonts w:ascii="Times" w:hAnsi="Times"/>
          <w:sz w:val="22"/>
          <w:szCs w:val="22"/>
        </w:rPr>
        <w:t>)</w:t>
      </w:r>
    </w:p>
    <w:bookmarkEnd w:id="0"/>
    <w:p w14:paraId="38B45AC6" w14:textId="77777777" w:rsidR="008D5527" w:rsidRPr="00B25F91" w:rsidRDefault="00D206DA" w:rsidP="00C47AB6">
      <w:pPr>
        <w:pStyle w:val="NormalWeb"/>
        <w:spacing w:before="2" w:after="2"/>
        <w:ind w:left="960"/>
        <w:jc w:val="both"/>
        <w:rPr>
          <w:rFonts w:ascii="Times" w:hAnsi="Times"/>
          <w:sz w:val="20"/>
          <w:szCs w:val="20"/>
        </w:rPr>
      </w:pPr>
      <w:r w:rsidRPr="00B25F91">
        <w:rPr>
          <w:rFonts w:ascii="Times" w:hAnsi="Times"/>
        </w:rPr>
        <w:fldChar w:fldCharType="begin"/>
      </w:r>
      <w:r w:rsidR="008D5527" w:rsidRPr="00B25F91">
        <w:rPr>
          <w:rFonts w:ascii="Times" w:hAnsi="Times"/>
        </w:rPr>
        <w:instrText xml:space="preserve"> HYPERLINK "http://lsc.chineselegalculture.org/Code/Da_Qing_luli_content" \l "lu412" </w:instrText>
      </w:r>
      <w:r w:rsidRPr="00B25F91">
        <w:rPr>
          <w:rFonts w:ascii="Times" w:hAnsi="Times"/>
        </w:rPr>
        <w:fldChar w:fldCharType="separate"/>
      </w:r>
      <w:r w:rsidR="008D5527" w:rsidRPr="00B25F91">
        <w:rPr>
          <w:rStyle w:val="Lienhypertexte"/>
          <w:rFonts w:ascii="Times" w:hAnsi="Times"/>
        </w:rPr>
        <w:t>412</w:t>
      </w:r>
      <w:r w:rsidRPr="00B25F91">
        <w:rPr>
          <w:rFonts w:ascii="Times" w:hAnsi="Times"/>
        </w:rPr>
        <w:fldChar w:fldCharType="end"/>
      </w:r>
      <w:r w:rsidR="008D5527" w:rsidRPr="00B25F91">
        <w:rPr>
          <w:rFonts w:ascii="Times" w:hAnsi="Times"/>
        </w:rPr>
        <w:t>-1</w:t>
      </w:r>
    </w:p>
    <w:p w14:paraId="7A0B3F7C" w14:textId="77777777" w:rsidR="00B66C85" w:rsidRPr="00B25F91" w:rsidRDefault="008D5527" w:rsidP="00C47AB6">
      <w:pPr>
        <w:pStyle w:val="NormalWeb"/>
        <w:spacing w:before="2" w:after="2"/>
        <w:ind w:left="960"/>
        <w:jc w:val="both"/>
        <w:rPr>
          <w:rFonts w:ascii="Times" w:hAnsi="Times"/>
        </w:rPr>
      </w:pPr>
      <w:r w:rsidRPr="00B25F91">
        <w:rPr>
          <w:rFonts w:ascii="Times" w:hAnsi="Times"/>
        </w:rPr>
        <w:t>遇告訟人命，有自縊、自殘及病死，而妄稱身死不明，意在圖賴詐財者，究問明確，不得一概發檢，以啟弊竇。其果係鬥殺、故殺、謀殺等項，當檢驗者，在京委刑部司官，及五城兵馬司、京縣知縣，在外委州縣正印官，務須於未檢驗之先，即詳鞫屍親、證佐、兇犯人等，令其實招以何物傷何致命之處，立為一案。隨即親詣屍所，督令仵作如法檢報，定執要害致命去處，細驗其圓長、斜正、青赤、分寸，果否係某物所傷，公同一干人衆，質對明白，各情輸服，然後成招。或屍久發變青赤顏色，亦須詳辯，不許聽憑仵作混報擬抵。其仵作受財，增減傷痕，扶同屍狀，以成冤獄，審實贜至滿數者，依律從重科斷。</w:t>
      </w:r>
      <w:r w:rsidRPr="00B25F91">
        <w:rPr>
          <w:rFonts w:ascii="Times" w:hAnsi="Times"/>
          <w:sz w:val="20"/>
        </w:rPr>
        <w:t>不先究致死根因明確，概行檢驗者，官吏以違制論</w:t>
      </w:r>
      <w:r w:rsidRPr="00B25F91">
        <w:rPr>
          <w:rFonts w:ascii="Times" w:hAnsi="Times"/>
        </w:rPr>
        <w:t>。</w:t>
      </w:r>
    </w:p>
    <w:p w14:paraId="1C8F64EC" w14:textId="77777777" w:rsidR="00B66C85" w:rsidRPr="00B25F91" w:rsidRDefault="00B66C85" w:rsidP="00C47AB6">
      <w:pPr>
        <w:jc w:val="both"/>
        <w:rPr>
          <w:rFonts w:ascii="Times" w:hAnsi="Times"/>
        </w:rPr>
      </w:pPr>
    </w:p>
    <w:p w14:paraId="441F625D" w14:textId="1ACD6478" w:rsidR="00B66C85" w:rsidRPr="006F4406" w:rsidRDefault="00B66C85" w:rsidP="00C47AB6">
      <w:pPr>
        <w:jc w:val="both"/>
        <w:rPr>
          <w:rFonts w:ascii="Times" w:hAnsi="Times"/>
          <w:lang w:val="fr-FR"/>
        </w:rPr>
      </w:pPr>
      <w:r w:rsidRPr="00B25F91">
        <w:rPr>
          <w:rFonts w:ascii="Times" w:hAnsi="Times"/>
          <w:lang w:val="fr-FR"/>
        </w:rPr>
        <w:t xml:space="preserve">Parmi les plaintes pour homicide, il </w:t>
      </w:r>
      <w:r w:rsidR="00817DCD">
        <w:rPr>
          <w:rFonts w:ascii="Times" w:hAnsi="Times"/>
          <w:lang w:val="fr-FR"/>
        </w:rPr>
        <w:t>y a des cas de suicide par pendaison, par arme blanche, ou des morts par maladie</w:t>
      </w:r>
      <w:r w:rsidR="006F4406">
        <w:rPr>
          <w:rFonts w:ascii="Times" w:hAnsi="Times"/>
          <w:lang w:val="fr-FR"/>
        </w:rPr>
        <w:t xml:space="preserve">, dont </w:t>
      </w:r>
      <w:r w:rsidR="00063BC5">
        <w:rPr>
          <w:rFonts w:ascii="Times" w:hAnsi="Times"/>
          <w:lang w:val="fr-FR"/>
        </w:rPr>
        <w:t>certains prétendent</w:t>
      </w:r>
      <w:r w:rsidR="006F4406">
        <w:rPr>
          <w:rFonts w:ascii="Times" w:hAnsi="Times"/>
          <w:lang w:val="fr-FR"/>
        </w:rPr>
        <w:t xml:space="preserve"> sans fondement que la mort </w:t>
      </w:r>
      <w:r w:rsidR="00063BC5">
        <w:rPr>
          <w:rFonts w:ascii="Times" w:hAnsi="Times"/>
          <w:lang w:val="fr-FR"/>
        </w:rPr>
        <w:t>a des causes cachées</w:t>
      </w:r>
      <w:r w:rsidR="006F4406">
        <w:rPr>
          <w:rFonts w:ascii="Times" w:hAnsi="Times"/>
          <w:lang w:val="fr-FR"/>
        </w:rPr>
        <w:t xml:space="preserve">, </w:t>
      </w:r>
      <w:r w:rsidR="00063BC5">
        <w:rPr>
          <w:rFonts w:ascii="Times" w:hAnsi="Times"/>
          <w:lang w:val="fr-FR"/>
        </w:rPr>
        <w:t xml:space="preserve">dans </w:t>
      </w:r>
      <w:r w:rsidR="006F4406">
        <w:rPr>
          <w:rFonts w:ascii="Times" w:hAnsi="Times"/>
          <w:lang w:val="fr-FR"/>
        </w:rPr>
        <w:t xml:space="preserve">l’intention d’accuser à tort et d’extorquer de l’argent par le chantage. </w:t>
      </w:r>
      <w:r w:rsidRPr="00B25F91">
        <w:rPr>
          <w:rFonts w:ascii="Times" w:hAnsi="Times"/>
          <w:lang w:val="fr-FR"/>
        </w:rPr>
        <w:t xml:space="preserve">Il faut </w:t>
      </w:r>
      <w:r w:rsidR="006F4406">
        <w:rPr>
          <w:rFonts w:ascii="Times" w:hAnsi="Times"/>
          <w:lang w:val="fr-FR"/>
        </w:rPr>
        <w:t xml:space="preserve">alors </w:t>
      </w:r>
      <w:r w:rsidR="00063BC5">
        <w:rPr>
          <w:rFonts w:ascii="Times" w:hAnsi="Times"/>
          <w:lang w:val="fr-FR"/>
        </w:rPr>
        <w:t>procéder à des interrogatoires approfondis jusqu’à ce que la lumière soit faite,</w:t>
      </w:r>
      <w:r w:rsidRPr="00B25F91">
        <w:rPr>
          <w:rFonts w:ascii="Times" w:hAnsi="Times"/>
          <w:lang w:val="fr-FR"/>
        </w:rPr>
        <w:t xml:space="preserve"> </w:t>
      </w:r>
      <w:r w:rsidR="006F4406">
        <w:rPr>
          <w:rFonts w:ascii="Times" w:hAnsi="Times"/>
          <w:lang w:val="fr-FR"/>
        </w:rPr>
        <w:t>en se gardant</w:t>
      </w:r>
      <w:r w:rsidRPr="00B25F91">
        <w:rPr>
          <w:rFonts w:ascii="Times" w:hAnsi="Times"/>
          <w:lang w:val="fr-FR"/>
        </w:rPr>
        <w:t xml:space="preserve"> </w:t>
      </w:r>
      <w:r w:rsidR="006F4406">
        <w:rPr>
          <w:rFonts w:ascii="Times" w:hAnsi="Times"/>
          <w:lang w:val="fr-FR"/>
        </w:rPr>
        <w:t>d’</w:t>
      </w:r>
      <w:r w:rsidRPr="00B25F91">
        <w:rPr>
          <w:rFonts w:ascii="Times" w:hAnsi="Times"/>
          <w:lang w:val="fr-FR"/>
        </w:rPr>
        <w:t xml:space="preserve">autoriser </w:t>
      </w:r>
      <w:r w:rsidR="004E6C9D">
        <w:rPr>
          <w:rFonts w:ascii="Times" w:hAnsi="Times"/>
          <w:lang w:val="fr-FR"/>
        </w:rPr>
        <w:t xml:space="preserve"> </w:t>
      </w:r>
      <w:r w:rsidR="00063BC5">
        <w:rPr>
          <w:rFonts w:ascii="Times" w:hAnsi="Times"/>
          <w:lang w:val="fr-FR"/>
        </w:rPr>
        <w:t xml:space="preserve">à </w:t>
      </w:r>
      <w:r w:rsidR="004E6C9D">
        <w:rPr>
          <w:rFonts w:ascii="Times" w:hAnsi="Times"/>
          <w:lang w:val="fr-FR"/>
        </w:rPr>
        <w:t xml:space="preserve">tout coup l’examen </w:t>
      </w:r>
      <w:proofErr w:type="spellStart"/>
      <w:r w:rsidR="004E6C9D">
        <w:rPr>
          <w:rFonts w:ascii="Times" w:hAnsi="Times"/>
          <w:lang w:val="fr-FR"/>
        </w:rPr>
        <w:t>forensique</w:t>
      </w:r>
      <w:proofErr w:type="spellEnd"/>
      <w:r w:rsidR="006F4406">
        <w:rPr>
          <w:rFonts w:ascii="Times" w:hAnsi="Times"/>
          <w:lang w:val="fr-FR"/>
        </w:rPr>
        <w:t xml:space="preserve">, </w:t>
      </w:r>
      <w:r w:rsidR="00063BC5">
        <w:rPr>
          <w:rFonts w:ascii="Times" w:hAnsi="Times"/>
          <w:lang w:val="fr-FR"/>
        </w:rPr>
        <w:t xml:space="preserve">ceci </w:t>
      </w:r>
      <w:r w:rsidR="006F4406">
        <w:rPr>
          <w:rFonts w:ascii="Times" w:hAnsi="Times"/>
          <w:lang w:val="fr-FR"/>
        </w:rPr>
        <w:t xml:space="preserve">afin d’éviter les </w:t>
      </w:r>
      <w:r w:rsidRPr="00B25F91">
        <w:rPr>
          <w:rFonts w:ascii="Times" w:hAnsi="Times"/>
          <w:lang w:val="fr-FR"/>
        </w:rPr>
        <w:t xml:space="preserve">abus. S’il </w:t>
      </w:r>
      <w:r w:rsidR="006F4406">
        <w:rPr>
          <w:rFonts w:ascii="Times" w:hAnsi="Times"/>
          <w:lang w:val="fr-FR"/>
        </w:rPr>
        <w:t>y a vraiment eu un homicide au cours d’une rixe</w:t>
      </w:r>
      <w:r w:rsidRPr="00B25F91">
        <w:rPr>
          <w:rFonts w:ascii="Times" w:hAnsi="Times"/>
          <w:lang w:val="fr-FR"/>
        </w:rPr>
        <w:t xml:space="preserve"> </w:t>
      </w:r>
      <w:r w:rsidRPr="00B25F91">
        <w:rPr>
          <w:rFonts w:ascii="Times" w:eastAsia="PMingLiU" w:hAnsi="Times"/>
          <w:lang w:val="fr-FR"/>
        </w:rPr>
        <w:t>鬪殺</w:t>
      </w:r>
      <w:r w:rsidRPr="00B25F91">
        <w:rPr>
          <w:rFonts w:ascii="Times" w:hAnsi="Times"/>
          <w:lang w:val="fr-FR"/>
        </w:rPr>
        <w:t xml:space="preserve">, </w:t>
      </w:r>
      <w:r w:rsidR="006F4406">
        <w:rPr>
          <w:rFonts w:ascii="Times" w:hAnsi="Times"/>
          <w:lang w:val="fr-FR"/>
        </w:rPr>
        <w:t>un</w:t>
      </w:r>
      <w:r w:rsidRPr="00B25F91">
        <w:rPr>
          <w:rFonts w:ascii="Times" w:hAnsi="Times"/>
          <w:lang w:val="fr-FR"/>
        </w:rPr>
        <w:t xml:space="preserve"> meurtre </w:t>
      </w:r>
      <w:r w:rsidRPr="00B25F91">
        <w:rPr>
          <w:rFonts w:ascii="Times" w:eastAsia="PMingLiU" w:hAnsi="Times"/>
          <w:lang w:val="fr-FR"/>
        </w:rPr>
        <w:t>故殺</w:t>
      </w:r>
      <w:r w:rsidRPr="00B25F91">
        <w:rPr>
          <w:rFonts w:ascii="Times" w:eastAsia="PMingLiU" w:hAnsi="Times"/>
          <w:lang w:val="fr-FR"/>
        </w:rPr>
        <w:t xml:space="preserve">, </w:t>
      </w:r>
      <w:r w:rsidR="004E6C9D">
        <w:rPr>
          <w:rFonts w:ascii="Times" w:hAnsi="Times"/>
          <w:lang w:val="fr-FR"/>
        </w:rPr>
        <w:t xml:space="preserve"> ou un assassinat</w:t>
      </w:r>
      <w:r w:rsidRPr="00B25F91">
        <w:rPr>
          <w:rFonts w:ascii="Times" w:hAnsi="Times"/>
          <w:lang w:val="fr-FR"/>
        </w:rPr>
        <w:t xml:space="preserve"> </w:t>
      </w:r>
      <w:r w:rsidRPr="00B25F91">
        <w:rPr>
          <w:rFonts w:ascii="Times" w:eastAsia="PMingLiU" w:hAnsi="Times"/>
          <w:lang w:val="fr-FR"/>
        </w:rPr>
        <w:t>謀殺</w:t>
      </w:r>
      <w:r w:rsidRPr="00B25F91">
        <w:rPr>
          <w:rFonts w:ascii="Times" w:hAnsi="Times"/>
          <w:lang w:val="fr-FR"/>
        </w:rPr>
        <w:t xml:space="preserve">, </w:t>
      </w:r>
      <w:r w:rsidR="004E6C9D">
        <w:rPr>
          <w:rFonts w:ascii="Times" w:hAnsi="Times"/>
          <w:lang w:val="fr-FR"/>
        </w:rPr>
        <w:t xml:space="preserve">tous actes nécessitant un examen </w:t>
      </w:r>
      <w:proofErr w:type="spellStart"/>
      <w:r w:rsidR="004E6C9D">
        <w:rPr>
          <w:rFonts w:ascii="Times" w:hAnsi="Times"/>
          <w:lang w:val="fr-FR"/>
        </w:rPr>
        <w:t>forensique</w:t>
      </w:r>
      <w:proofErr w:type="spellEnd"/>
      <w:r w:rsidR="004E6C9D">
        <w:rPr>
          <w:rFonts w:ascii="Times" w:hAnsi="Times"/>
          <w:lang w:val="fr-FR"/>
        </w:rPr>
        <w:t xml:space="preserve">, </w:t>
      </w:r>
      <w:r w:rsidR="00384162">
        <w:rPr>
          <w:rFonts w:ascii="Times" w:hAnsi="Times"/>
          <w:lang w:val="fr-FR"/>
        </w:rPr>
        <w:t xml:space="preserve">sur le territoire de Pékin, </w:t>
      </w:r>
      <w:r w:rsidR="004E6C9D">
        <w:rPr>
          <w:rFonts w:ascii="Times" w:hAnsi="Times"/>
          <w:lang w:val="fr-FR"/>
        </w:rPr>
        <w:t>c’est la responsabilité des</w:t>
      </w:r>
      <w:r w:rsidRPr="00B25F91">
        <w:rPr>
          <w:rFonts w:ascii="Times" w:hAnsi="Times"/>
          <w:lang w:val="fr-FR"/>
        </w:rPr>
        <w:t xml:space="preserve"> fonctionn</w:t>
      </w:r>
      <w:r w:rsidR="004E6C9D">
        <w:rPr>
          <w:rFonts w:ascii="Times" w:hAnsi="Times"/>
          <w:lang w:val="fr-FR"/>
        </w:rPr>
        <w:t>aires du Ministère des Peines, de la maréchaussée</w:t>
      </w:r>
      <w:r w:rsidRPr="00B25F91">
        <w:rPr>
          <w:rFonts w:ascii="Times" w:hAnsi="Times"/>
          <w:lang w:val="fr-FR"/>
        </w:rPr>
        <w:t xml:space="preserve"> des cinq arrondissements </w:t>
      </w:r>
      <w:r w:rsidRPr="00B25F91">
        <w:rPr>
          <w:rFonts w:ascii="Times" w:eastAsia="PMingLiU" w:hAnsi="Times"/>
          <w:lang w:val="fr-FR"/>
        </w:rPr>
        <w:t>五城兵馬司</w:t>
      </w:r>
      <w:r w:rsidRPr="00B25F91">
        <w:rPr>
          <w:rFonts w:ascii="Times" w:eastAsia="PMingLiU" w:hAnsi="Times"/>
          <w:lang w:val="fr-FR"/>
        </w:rPr>
        <w:t xml:space="preserve"> </w:t>
      </w:r>
      <w:r w:rsidR="004E6C9D">
        <w:rPr>
          <w:rFonts w:ascii="Times" w:eastAsia="PMingLiU" w:hAnsi="Times"/>
          <w:lang w:val="fr-FR"/>
        </w:rPr>
        <w:t>ainsi que des</w:t>
      </w:r>
      <w:r w:rsidRPr="00B25F91">
        <w:rPr>
          <w:rFonts w:ascii="Times" w:eastAsia="PMingLiU" w:hAnsi="Times"/>
          <w:lang w:val="fr-FR"/>
        </w:rPr>
        <w:t xml:space="preserve"> magistrats des districts métropolitains</w:t>
      </w:r>
      <w:r w:rsidR="004E6C9D">
        <w:rPr>
          <w:rFonts w:ascii="Times" w:eastAsia="PMingLiU" w:hAnsi="Times"/>
          <w:lang w:val="fr-FR"/>
        </w:rPr>
        <w:t xml:space="preserve">. Dans les provinces, c’est </w:t>
      </w:r>
      <w:r w:rsidR="00384162">
        <w:rPr>
          <w:rFonts w:ascii="Times" w:eastAsia="PMingLiU" w:hAnsi="Times"/>
          <w:lang w:val="fr-FR"/>
        </w:rPr>
        <w:t>celle des</w:t>
      </w:r>
      <w:r w:rsidR="004E6C9D">
        <w:rPr>
          <w:rFonts w:ascii="Times" w:eastAsia="PMingLiU" w:hAnsi="Times"/>
          <w:lang w:val="fr-FR"/>
        </w:rPr>
        <w:t xml:space="preserve"> </w:t>
      </w:r>
      <w:r w:rsidRPr="00B25F91">
        <w:rPr>
          <w:rFonts w:ascii="Times" w:eastAsia="PMingLiU" w:hAnsi="Times"/>
          <w:lang w:val="fr-FR"/>
        </w:rPr>
        <w:t>fonctionnaires titulaires du sceau des districts ou des sous-préfectures</w:t>
      </w:r>
      <w:r w:rsidR="004E6C9D">
        <w:rPr>
          <w:rFonts w:ascii="Times" w:eastAsia="PMingLiU" w:hAnsi="Times"/>
          <w:lang w:val="fr-FR"/>
        </w:rPr>
        <w:t xml:space="preserve">. </w:t>
      </w:r>
      <w:r w:rsidRPr="00B25F91">
        <w:rPr>
          <w:rFonts w:ascii="Times" w:eastAsia="PMingLiU" w:hAnsi="Times"/>
          <w:lang w:val="fr-FR"/>
        </w:rPr>
        <w:t xml:space="preserve"> </w:t>
      </w:r>
      <w:r w:rsidR="004E6C9D">
        <w:rPr>
          <w:rFonts w:ascii="Times" w:eastAsia="PMingLiU" w:hAnsi="Times"/>
          <w:lang w:val="fr-FR"/>
        </w:rPr>
        <w:t>Avant de procéder à l’examen du cadavre</w:t>
      </w:r>
      <w:r w:rsidRPr="00B25F91">
        <w:rPr>
          <w:rFonts w:ascii="Times" w:eastAsia="PMingLiU" w:hAnsi="Times"/>
          <w:lang w:val="fr-FR"/>
        </w:rPr>
        <w:t xml:space="preserve">, </w:t>
      </w:r>
      <w:r w:rsidR="004E6C9D">
        <w:rPr>
          <w:rFonts w:ascii="Times" w:eastAsia="PMingLiU" w:hAnsi="Times"/>
          <w:lang w:val="fr-FR"/>
        </w:rPr>
        <w:t xml:space="preserve">il faut d’abord </w:t>
      </w:r>
      <w:r w:rsidRPr="00B25F91">
        <w:rPr>
          <w:rFonts w:ascii="Times" w:eastAsia="PMingLiU" w:hAnsi="Times"/>
          <w:lang w:val="fr-FR"/>
        </w:rPr>
        <w:t xml:space="preserve">interroger les proches de la victime, les témoins </w:t>
      </w:r>
      <w:r w:rsidR="004E6C9D">
        <w:rPr>
          <w:rFonts w:ascii="Times" w:eastAsia="PMingLiU" w:hAnsi="Times"/>
          <w:lang w:val="fr-FR"/>
        </w:rPr>
        <w:t>ainsi que le</w:t>
      </w:r>
      <w:r w:rsidRPr="00B25F91">
        <w:rPr>
          <w:rFonts w:ascii="Times" w:eastAsia="PMingLiU" w:hAnsi="Times"/>
          <w:lang w:val="fr-FR"/>
        </w:rPr>
        <w:t xml:space="preserve"> </w:t>
      </w:r>
      <w:r w:rsidR="004E6C9D">
        <w:rPr>
          <w:rFonts w:ascii="Times" w:eastAsia="PMingLiU" w:hAnsi="Times"/>
          <w:lang w:val="fr-FR"/>
        </w:rPr>
        <w:t>suspect du crime</w:t>
      </w:r>
      <w:r w:rsidRPr="00B25F91">
        <w:rPr>
          <w:rFonts w:ascii="Times" w:eastAsia="PMingLiU" w:hAnsi="Times"/>
          <w:lang w:val="fr-FR"/>
        </w:rPr>
        <w:t xml:space="preserve">, et leur </w:t>
      </w:r>
      <w:r w:rsidR="00721D5F">
        <w:rPr>
          <w:rFonts w:ascii="Times" w:eastAsia="PMingLiU" w:hAnsi="Times"/>
          <w:lang w:val="fr-FR"/>
        </w:rPr>
        <w:t>ordonner d’indiquer avec quel objet, quels</w:t>
      </w:r>
      <w:r w:rsidRPr="00B25F91">
        <w:rPr>
          <w:rFonts w:ascii="Times" w:eastAsia="PMingLiU" w:hAnsi="Times"/>
          <w:lang w:val="fr-FR"/>
        </w:rPr>
        <w:t xml:space="preserve"> points vitaux </w:t>
      </w:r>
      <w:r w:rsidR="00721D5F">
        <w:rPr>
          <w:rFonts w:ascii="Times" w:eastAsia="PMingLiU" w:hAnsi="Times"/>
          <w:lang w:val="fr-FR"/>
        </w:rPr>
        <w:t>ont été atteints</w:t>
      </w:r>
      <w:r w:rsidR="004E6C9D">
        <w:rPr>
          <w:rFonts w:ascii="Times" w:eastAsia="PMingLiU" w:hAnsi="Times"/>
          <w:lang w:val="fr-FR"/>
        </w:rPr>
        <w:t>, et d’établir ainsi le dossier du cas</w:t>
      </w:r>
      <w:r w:rsidRPr="00B25F91">
        <w:rPr>
          <w:rFonts w:ascii="Times" w:eastAsia="PMingLiU" w:hAnsi="Times"/>
          <w:lang w:val="fr-FR"/>
        </w:rPr>
        <w:t xml:space="preserve">. </w:t>
      </w:r>
      <w:r w:rsidR="004E6C9D">
        <w:rPr>
          <w:rFonts w:ascii="Times" w:eastAsia="PMingLiU" w:hAnsi="Times"/>
          <w:lang w:val="fr-FR"/>
        </w:rPr>
        <w:t>Puis le fonctionnaire</w:t>
      </w:r>
      <w:r w:rsidRPr="00B25F91">
        <w:rPr>
          <w:rFonts w:ascii="Times" w:eastAsia="PMingLiU" w:hAnsi="Times"/>
          <w:lang w:val="fr-FR"/>
        </w:rPr>
        <w:t xml:space="preserve"> </w:t>
      </w:r>
      <w:r w:rsidR="004E6C9D">
        <w:rPr>
          <w:rFonts w:ascii="Times" w:eastAsia="PMingLiU" w:hAnsi="Times"/>
          <w:lang w:val="fr-FR"/>
        </w:rPr>
        <w:t xml:space="preserve">doit se </w:t>
      </w:r>
      <w:r w:rsidRPr="00B25F91">
        <w:rPr>
          <w:rFonts w:ascii="Times" w:eastAsia="PMingLiU" w:hAnsi="Times"/>
          <w:lang w:val="fr-FR"/>
        </w:rPr>
        <w:t>rend</w:t>
      </w:r>
      <w:r w:rsidR="004E6C9D">
        <w:rPr>
          <w:rFonts w:ascii="Times" w:eastAsia="PMingLiU" w:hAnsi="Times"/>
          <w:lang w:val="fr-FR"/>
        </w:rPr>
        <w:t>re</w:t>
      </w:r>
      <w:r w:rsidRPr="00B25F91">
        <w:rPr>
          <w:rFonts w:ascii="Times" w:eastAsia="PMingLiU" w:hAnsi="Times"/>
          <w:lang w:val="fr-FR"/>
        </w:rPr>
        <w:t xml:space="preserve"> </w:t>
      </w:r>
      <w:r w:rsidR="00721D5F">
        <w:rPr>
          <w:rFonts w:ascii="Times" w:eastAsia="PMingLiU" w:hAnsi="Times"/>
          <w:lang w:val="fr-FR"/>
        </w:rPr>
        <w:t>sans délai</w:t>
      </w:r>
      <w:r w:rsidRPr="00B25F91">
        <w:rPr>
          <w:rFonts w:ascii="Times" w:eastAsia="PMingLiU" w:hAnsi="Times"/>
          <w:lang w:val="fr-FR"/>
        </w:rPr>
        <w:t xml:space="preserve"> au lieu où se trouve le cadavre et ordonne</w:t>
      </w:r>
      <w:r w:rsidR="00721D5F">
        <w:rPr>
          <w:rFonts w:ascii="Times" w:eastAsia="PMingLiU" w:hAnsi="Times"/>
          <w:lang w:val="fr-FR"/>
        </w:rPr>
        <w:t>r</w:t>
      </w:r>
      <w:r w:rsidRPr="00B25F91">
        <w:rPr>
          <w:rFonts w:ascii="Times" w:eastAsia="PMingLiU" w:hAnsi="Times"/>
          <w:lang w:val="fr-FR"/>
        </w:rPr>
        <w:t xml:space="preserve"> à l’exécuteur d’autopsie de l’examiner et </w:t>
      </w:r>
      <w:r w:rsidR="00721D5F">
        <w:rPr>
          <w:rFonts w:ascii="Times" w:eastAsia="PMingLiU" w:hAnsi="Times"/>
          <w:lang w:val="fr-FR"/>
        </w:rPr>
        <w:t>d’en faire le rapport</w:t>
      </w:r>
      <w:r w:rsidRPr="00B25F91">
        <w:rPr>
          <w:rFonts w:ascii="Times" w:eastAsia="PMingLiU" w:hAnsi="Times"/>
          <w:lang w:val="fr-FR"/>
        </w:rPr>
        <w:t xml:space="preserve"> selon les règle</w:t>
      </w:r>
      <w:r w:rsidR="00721D5F">
        <w:rPr>
          <w:rFonts w:ascii="Times" w:eastAsia="PMingLiU" w:hAnsi="Times"/>
          <w:lang w:val="fr-FR"/>
        </w:rPr>
        <w:t>s</w:t>
      </w:r>
      <w:r w:rsidRPr="00B25F91">
        <w:rPr>
          <w:rStyle w:val="Marquenotebasdepage"/>
          <w:rFonts w:ascii="Times" w:eastAsia="PMingLiU" w:hAnsi="Times"/>
          <w:lang w:val="fr-FR"/>
        </w:rPr>
        <w:footnoteReference w:id="1"/>
      </w:r>
      <w:r w:rsidRPr="00B25F91">
        <w:rPr>
          <w:rFonts w:ascii="Times" w:eastAsia="PMingLiU" w:hAnsi="Times"/>
          <w:lang w:val="fr-FR"/>
        </w:rPr>
        <w:t xml:space="preserve">. Il faut déterminer </w:t>
      </w:r>
      <w:r w:rsidR="00721D5F">
        <w:rPr>
          <w:rFonts w:ascii="Times" w:eastAsia="PMingLiU" w:hAnsi="Times"/>
          <w:lang w:val="fr-FR"/>
        </w:rPr>
        <w:t xml:space="preserve">le point vital </w:t>
      </w:r>
      <w:r w:rsidRPr="00B25F91">
        <w:rPr>
          <w:rFonts w:ascii="Times" w:eastAsia="PMingLiU" w:hAnsi="Times"/>
          <w:lang w:val="fr-FR"/>
        </w:rPr>
        <w:t>qui a reçu le coup fatal</w:t>
      </w:r>
      <w:r w:rsidRPr="00B25F91">
        <w:rPr>
          <w:rFonts w:ascii="Times" w:hAnsi="Times"/>
          <w:lang w:val="fr-FR"/>
        </w:rPr>
        <w:t xml:space="preserve"> et examiner les blessures pour savoir si elles sont rondes ou étroites, obliques ou dro</w:t>
      </w:r>
      <w:r w:rsidR="00721D5F">
        <w:rPr>
          <w:rFonts w:ascii="Times" w:hAnsi="Times"/>
          <w:lang w:val="fr-FR"/>
        </w:rPr>
        <w:t>ites, verdâtres ou rougeâtres ;</w:t>
      </w:r>
      <w:r w:rsidRPr="00B25F91">
        <w:rPr>
          <w:rFonts w:ascii="Times" w:hAnsi="Times"/>
          <w:lang w:val="fr-FR"/>
        </w:rPr>
        <w:t xml:space="preserve"> </w:t>
      </w:r>
      <w:r w:rsidR="00721D5F">
        <w:rPr>
          <w:rFonts w:ascii="Times" w:hAnsi="Times"/>
          <w:lang w:val="fr-FR"/>
        </w:rPr>
        <w:t>il faut</w:t>
      </w:r>
      <w:r w:rsidRPr="00B25F91">
        <w:rPr>
          <w:rFonts w:ascii="Times" w:hAnsi="Times"/>
          <w:lang w:val="fr-FR"/>
        </w:rPr>
        <w:t xml:space="preserve"> mesurer leur longueur afin de vérifier si elles </w:t>
      </w:r>
      <w:r w:rsidR="001579C8">
        <w:rPr>
          <w:rFonts w:ascii="Times" w:hAnsi="Times"/>
          <w:lang w:val="fr-FR"/>
        </w:rPr>
        <w:t xml:space="preserve">correspondent à </w:t>
      </w:r>
      <w:r w:rsidR="00721D5F">
        <w:rPr>
          <w:rFonts w:ascii="Times" w:hAnsi="Times"/>
          <w:lang w:val="fr-FR"/>
        </w:rPr>
        <w:t>l’</w:t>
      </w:r>
      <w:r w:rsidRPr="00B25F91">
        <w:rPr>
          <w:rFonts w:ascii="Times" w:hAnsi="Times"/>
          <w:lang w:val="fr-FR"/>
        </w:rPr>
        <w:t>arme</w:t>
      </w:r>
      <w:r w:rsidR="00721D5F">
        <w:rPr>
          <w:rFonts w:ascii="Times" w:hAnsi="Times"/>
          <w:lang w:val="fr-FR"/>
        </w:rPr>
        <w:t xml:space="preserve"> présumée</w:t>
      </w:r>
      <w:r w:rsidRPr="00B25F91">
        <w:rPr>
          <w:rFonts w:ascii="Times" w:hAnsi="Times"/>
          <w:lang w:val="fr-FR"/>
        </w:rPr>
        <w:t xml:space="preserve">. </w:t>
      </w:r>
      <w:r w:rsidR="001579C8">
        <w:rPr>
          <w:rFonts w:ascii="Times" w:hAnsi="Times"/>
          <w:lang w:val="fr-FR"/>
        </w:rPr>
        <w:t>Toutes les personnes impliquées sont rassemblées, les confrontations ont lieu en public et font la lumière, chacun reconnaissant les faits,  jusqu’à ce que finalement</w:t>
      </w:r>
      <w:r w:rsidR="001579C8">
        <w:rPr>
          <w:rFonts w:ascii="Times" w:eastAsia="PMingLiU" w:hAnsi="Times"/>
          <w:lang w:val="fr-FR"/>
        </w:rPr>
        <w:t xml:space="preserve"> le prévenu avoue son crim</w:t>
      </w:r>
      <w:r w:rsidR="007164DB">
        <w:rPr>
          <w:rFonts w:ascii="Times" w:eastAsia="PMingLiU" w:hAnsi="Times"/>
          <w:lang w:val="fr-FR"/>
        </w:rPr>
        <w:t>e. Après un certain temps, il peut arriver que la décomposition d’un corps</w:t>
      </w:r>
      <w:r w:rsidRPr="00B25F91">
        <w:rPr>
          <w:rFonts w:ascii="Times" w:eastAsia="PMingLiU" w:hAnsi="Times"/>
          <w:lang w:val="fr-FR"/>
        </w:rPr>
        <w:t xml:space="preserve"> </w:t>
      </w:r>
      <w:r w:rsidR="007164DB">
        <w:rPr>
          <w:rFonts w:ascii="Times" w:eastAsia="PMingLiU" w:hAnsi="Times"/>
          <w:lang w:val="fr-FR"/>
        </w:rPr>
        <w:t xml:space="preserve">fasse apparaître des traces rougeâtres ou verdâtres. Il faut </w:t>
      </w:r>
      <w:r w:rsidR="001E4ED3">
        <w:rPr>
          <w:rFonts w:ascii="Times" w:eastAsia="PMingLiU" w:hAnsi="Times"/>
          <w:lang w:val="fr-FR"/>
        </w:rPr>
        <w:t xml:space="preserve">bien </w:t>
      </w:r>
      <w:r w:rsidR="00384162">
        <w:rPr>
          <w:rFonts w:ascii="Times" w:eastAsia="PMingLiU" w:hAnsi="Times"/>
          <w:lang w:val="fr-FR"/>
        </w:rPr>
        <w:t>noter ce fait et le distinguer de véritables blessures,</w:t>
      </w:r>
      <w:r w:rsidR="007164DB">
        <w:rPr>
          <w:rFonts w:ascii="Times" w:eastAsia="PMingLiU" w:hAnsi="Times"/>
          <w:lang w:val="fr-FR"/>
        </w:rPr>
        <w:t xml:space="preserve"> et ne pas laisser</w:t>
      </w:r>
      <w:r w:rsidRPr="00B25F91">
        <w:rPr>
          <w:rFonts w:ascii="Times" w:eastAsia="PMingLiU" w:hAnsi="Times"/>
          <w:lang w:val="fr-FR"/>
        </w:rPr>
        <w:t xml:space="preserve"> l’exécuteur d’autopsie </w:t>
      </w:r>
      <w:r w:rsidR="007164DB">
        <w:rPr>
          <w:rFonts w:ascii="Times" w:eastAsia="PMingLiU" w:hAnsi="Times"/>
          <w:lang w:val="fr-FR"/>
        </w:rPr>
        <w:t>faire un rapport qui va faire croire à des blessures, sur la base duquel serait établie une sentence</w:t>
      </w:r>
      <w:r w:rsidR="00384162">
        <w:rPr>
          <w:rFonts w:ascii="Times" w:eastAsia="PMingLiU" w:hAnsi="Times"/>
          <w:lang w:val="fr-FR"/>
        </w:rPr>
        <w:t xml:space="preserve"> erronée</w:t>
      </w:r>
      <w:r w:rsidRPr="00B25F91">
        <w:rPr>
          <w:rFonts w:ascii="Times" w:eastAsia="PMingLiU" w:hAnsi="Times"/>
          <w:lang w:val="fr-FR"/>
        </w:rPr>
        <w:t xml:space="preserve">. </w:t>
      </w:r>
      <w:r w:rsidR="001E4ED3">
        <w:rPr>
          <w:rFonts w:ascii="Times" w:eastAsia="PMingLiU" w:hAnsi="Times"/>
          <w:lang w:val="fr-FR"/>
        </w:rPr>
        <w:t>Quant à l</w:t>
      </w:r>
      <w:r w:rsidRPr="00B25F91">
        <w:rPr>
          <w:rFonts w:ascii="Times" w:eastAsia="PMingLiU" w:hAnsi="Times"/>
          <w:lang w:val="fr-FR"/>
        </w:rPr>
        <w:t>’exécuteur d’autopsie</w:t>
      </w:r>
      <w:r w:rsidR="001E4ED3">
        <w:rPr>
          <w:rFonts w:ascii="Times" w:eastAsia="PMingLiU" w:hAnsi="Times"/>
          <w:lang w:val="fr-FR"/>
        </w:rPr>
        <w:t xml:space="preserve"> qui a reçu de l’argent pour ajouter ou retrancher des blessures afin que son rapport </w:t>
      </w:r>
      <w:proofErr w:type="spellStart"/>
      <w:r w:rsidR="001E4ED3">
        <w:rPr>
          <w:rFonts w:ascii="Times" w:eastAsia="PMingLiU" w:hAnsi="Times"/>
          <w:lang w:val="fr-FR"/>
        </w:rPr>
        <w:t>forensique</w:t>
      </w:r>
      <w:proofErr w:type="spellEnd"/>
      <w:r w:rsidR="001E4ED3">
        <w:rPr>
          <w:rFonts w:ascii="Times" w:eastAsia="PMingLiU" w:hAnsi="Times"/>
          <w:lang w:val="fr-FR"/>
        </w:rPr>
        <w:t xml:space="preserve"> coïncide, s’il en résulte une injustice judiciaire, l’enquête doit déterminer le montant du pot de vin qui, en tant que « bien mal acquis », servira à établir la sentence et, si le maximum est atteint, sera puni de la peine la plus sévère prévue par la loi</w:t>
      </w:r>
      <w:r w:rsidRPr="00B25F91">
        <w:rPr>
          <w:rFonts w:ascii="Times" w:eastAsia="PMingLiU" w:hAnsi="Times"/>
          <w:lang w:val="fr-FR"/>
        </w:rPr>
        <w:t xml:space="preserve"> </w:t>
      </w:r>
      <w:r w:rsidRPr="001E4ED3">
        <w:rPr>
          <w:rFonts w:ascii="Times" w:eastAsia="PMingLiU" w:hAnsi="Times"/>
          <w:color w:val="0000FF"/>
          <w:sz w:val="20"/>
          <w:szCs w:val="20"/>
          <w:lang w:val="fr-FR"/>
        </w:rPr>
        <w:t>Tout fonctionnaire qui procède directement à l’</w:t>
      </w:r>
      <w:r w:rsidR="005B43D3">
        <w:rPr>
          <w:rFonts w:ascii="Times" w:eastAsia="PMingLiU" w:hAnsi="Times"/>
          <w:color w:val="0000FF"/>
          <w:sz w:val="20"/>
          <w:szCs w:val="20"/>
          <w:lang w:val="fr-FR"/>
        </w:rPr>
        <w:t xml:space="preserve">examen </w:t>
      </w:r>
      <w:proofErr w:type="spellStart"/>
      <w:r w:rsidR="005B43D3">
        <w:rPr>
          <w:rFonts w:ascii="Times" w:eastAsia="PMingLiU" w:hAnsi="Times"/>
          <w:color w:val="0000FF"/>
          <w:sz w:val="20"/>
          <w:szCs w:val="20"/>
          <w:lang w:val="fr-FR"/>
        </w:rPr>
        <w:t>forensique</w:t>
      </w:r>
      <w:proofErr w:type="spellEnd"/>
      <w:r w:rsidRPr="001E4ED3">
        <w:rPr>
          <w:rFonts w:ascii="Times" w:eastAsia="PMingLiU" w:hAnsi="Times"/>
          <w:color w:val="0000FF"/>
          <w:sz w:val="20"/>
          <w:szCs w:val="20"/>
          <w:lang w:val="fr-FR"/>
        </w:rPr>
        <w:t xml:space="preserve"> sans d’abord interroger sur la cause véritable du décès est </w:t>
      </w:r>
      <w:r w:rsidR="001E4ED3" w:rsidRPr="001E4ED3">
        <w:rPr>
          <w:rFonts w:ascii="Times" w:eastAsia="PMingLiU" w:hAnsi="Times"/>
          <w:color w:val="0000FF"/>
          <w:sz w:val="20"/>
          <w:szCs w:val="20"/>
          <w:lang w:val="fr-FR"/>
        </w:rPr>
        <w:t>condamné d’après la loi « Enfreindre un</w:t>
      </w:r>
      <w:r w:rsidR="000F7797">
        <w:rPr>
          <w:rFonts w:ascii="Times" w:eastAsia="PMingLiU" w:hAnsi="Times"/>
          <w:color w:val="0000FF"/>
          <w:sz w:val="20"/>
          <w:szCs w:val="20"/>
          <w:lang w:val="fr-FR"/>
        </w:rPr>
        <w:t xml:space="preserve"> édit impérial </w:t>
      </w:r>
      <w:r w:rsidR="001E4ED3" w:rsidRPr="001E4ED3">
        <w:rPr>
          <w:rFonts w:ascii="Times" w:eastAsia="PMingLiU" w:hAnsi="Times"/>
          <w:color w:val="0000FF"/>
          <w:sz w:val="20"/>
          <w:szCs w:val="20"/>
          <w:lang w:val="fr-FR"/>
        </w:rPr>
        <w:t>»</w:t>
      </w:r>
      <w:r w:rsidR="000F7797">
        <w:rPr>
          <w:rFonts w:ascii="Times" w:eastAsia="PMingLiU" w:hAnsi="Times"/>
          <w:color w:val="0000FF"/>
          <w:sz w:val="20"/>
          <w:szCs w:val="20"/>
          <w:lang w:val="fr-FR"/>
        </w:rPr>
        <w:t xml:space="preserve"> (art. 385)</w:t>
      </w:r>
      <w:r w:rsidR="001E4ED3" w:rsidRPr="001E4ED3">
        <w:rPr>
          <w:rFonts w:ascii="Times" w:eastAsia="PMingLiU" w:hAnsi="Times"/>
          <w:color w:val="0000FF"/>
          <w:sz w:val="20"/>
          <w:szCs w:val="20"/>
          <w:lang w:val="fr-FR"/>
        </w:rPr>
        <w:t>.</w:t>
      </w:r>
      <w:r w:rsidR="001E4ED3">
        <w:rPr>
          <w:rFonts w:ascii="Times" w:eastAsia="PMingLiU" w:hAnsi="Times"/>
          <w:lang w:val="fr-FR"/>
        </w:rPr>
        <w:t xml:space="preserve"> </w:t>
      </w:r>
    </w:p>
    <w:p w14:paraId="030D5F35" w14:textId="77777777" w:rsidR="008D5527" w:rsidRPr="00B25F91" w:rsidRDefault="008D5527" w:rsidP="00C47AB6">
      <w:pPr>
        <w:pStyle w:val="NormalWeb"/>
        <w:spacing w:before="2" w:after="2"/>
        <w:ind w:left="960"/>
        <w:jc w:val="both"/>
        <w:rPr>
          <w:rFonts w:ascii="Times" w:hAnsi="Times"/>
        </w:rPr>
      </w:pPr>
    </w:p>
    <w:p w14:paraId="330A2A6E" w14:textId="77777777" w:rsidR="008D5527" w:rsidRPr="00B25F91" w:rsidRDefault="005B43D3" w:rsidP="00C47AB6">
      <w:pPr>
        <w:pStyle w:val="NormalWeb"/>
        <w:spacing w:before="2" w:after="2"/>
        <w:ind w:left="960"/>
        <w:jc w:val="both"/>
        <w:rPr>
          <w:rFonts w:ascii="Times" w:hAnsi="Times"/>
        </w:rPr>
      </w:pPr>
      <w:hyperlink r:id="rId7" w:anchor="lu412" w:history="1">
        <w:r w:rsidR="008D5527" w:rsidRPr="00B25F91">
          <w:rPr>
            <w:rStyle w:val="Lienhypertexte"/>
            <w:rFonts w:ascii="Times" w:hAnsi="Times"/>
          </w:rPr>
          <w:t>412</w:t>
        </w:r>
      </w:hyperlink>
      <w:r w:rsidR="008D5527" w:rsidRPr="00B25F91">
        <w:rPr>
          <w:rFonts w:ascii="Times" w:hAnsi="Times"/>
        </w:rPr>
        <w:t>-2</w:t>
      </w:r>
    </w:p>
    <w:p w14:paraId="280A7DF4" w14:textId="77777777" w:rsidR="00B66C85" w:rsidRPr="00B25F91" w:rsidRDefault="008D5527" w:rsidP="00C47AB6">
      <w:pPr>
        <w:pStyle w:val="NormalWeb"/>
        <w:spacing w:before="2" w:after="2"/>
        <w:ind w:left="960"/>
        <w:jc w:val="both"/>
        <w:rPr>
          <w:rFonts w:ascii="Times" w:hAnsi="Times"/>
        </w:rPr>
      </w:pPr>
      <w:r w:rsidRPr="00B25F91">
        <w:rPr>
          <w:rFonts w:ascii="Times" w:hAnsi="Times"/>
        </w:rPr>
        <w:t>諸人自縊、溺水身死，別無他故，親屬情願安葬，官司詳審明白，准告免檢。若事主被強盜殺死，苦主自告免檢者，官與相視傷損，將屍給親埋葬。其獄囚患病，責保看治而死者，情無可疑，亦許親屬告免覆檢。若據殺傷而死者，親屬雖告，不聽免檢。</w:t>
      </w:r>
    </w:p>
    <w:p w14:paraId="358EC8C4" w14:textId="25665EDE" w:rsidR="008D5527" w:rsidRPr="00B25F91" w:rsidRDefault="003F2D54" w:rsidP="00D66447">
      <w:pPr>
        <w:pStyle w:val="NormalWeb"/>
        <w:spacing w:before="2" w:after="2"/>
        <w:jc w:val="both"/>
        <w:rPr>
          <w:rFonts w:ascii="Times" w:hAnsi="Times"/>
        </w:rPr>
      </w:pPr>
      <w:r>
        <w:rPr>
          <w:rFonts w:ascii="Times" w:eastAsia="PMingLiU" w:hAnsi="Times"/>
          <w:lang w:eastAsia="zh-TW"/>
        </w:rPr>
        <w:t>Dans tous les cas de</w:t>
      </w:r>
      <w:r w:rsidR="00B66C85" w:rsidRPr="00B25F91">
        <w:rPr>
          <w:rFonts w:ascii="Times" w:eastAsia="PMingLiU" w:hAnsi="Times"/>
          <w:lang w:eastAsia="zh-TW"/>
        </w:rPr>
        <w:t xml:space="preserve"> suicide par pendaison ou </w:t>
      </w:r>
      <w:r w:rsidR="008A4062">
        <w:rPr>
          <w:rFonts w:ascii="Times" w:eastAsia="PMingLiU" w:hAnsi="Times"/>
          <w:lang w:eastAsia="zh-TW"/>
        </w:rPr>
        <w:t>par</w:t>
      </w:r>
      <w:r>
        <w:rPr>
          <w:rFonts w:ascii="Times" w:eastAsia="PMingLiU" w:hAnsi="Times"/>
          <w:lang w:eastAsia="zh-TW"/>
        </w:rPr>
        <w:t xml:space="preserve"> noyade, sans qu’il y ait d’autre cause à la mort, </w:t>
      </w:r>
      <w:r w:rsidR="00B66C85" w:rsidRPr="00B25F91">
        <w:rPr>
          <w:rFonts w:ascii="Times" w:eastAsia="PMingLiU" w:hAnsi="Times"/>
          <w:lang w:eastAsia="zh-TW"/>
        </w:rPr>
        <w:t xml:space="preserve"> </w:t>
      </w:r>
      <w:r>
        <w:rPr>
          <w:rFonts w:ascii="Times" w:eastAsia="PMingLiU" w:hAnsi="Times"/>
          <w:lang w:eastAsia="zh-TW"/>
        </w:rPr>
        <w:t>du moment que les</w:t>
      </w:r>
      <w:r w:rsidR="00B66C85" w:rsidRPr="00B25F91">
        <w:rPr>
          <w:rFonts w:ascii="Times" w:eastAsia="PMingLiU" w:hAnsi="Times"/>
          <w:lang w:eastAsia="zh-TW"/>
        </w:rPr>
        <w:t xml:space="preserve"> proches du mort </w:t>
      </w:r>
      <w:r>
        <w:rPr>
          <w:rFonts w:ascii="Times" w:eastAsia="PMingLiU" w:hAnsi="Times"/>
          <w:lang w:eastAsia="zh-TW"/>
        </w:rPr>
        <w:t>sont disposés</w:t>
      </w:r>
      <w:r w:rsidR="00B66C85" w:rsidRPr="00B25F91">
        <w:rPr>
          <w:rFonts w:ascii="Times" w:eastAsia="PMingLiU" w:hAnsi="Times"/>
          <w:lang w:eastAsia="zh-TW"/>
        </w:rPr>
        <w:t xml:space="preserve"> </w:t>
      </w:r>
      <w:r w:rsidR="00125406">
        <w:rPr>
          <w:rFonts w:ascii="Times" w:eastAsia="PMingLiU" w:hAnsi="Times"/>
          <w:lang w:eastAsia="zh-TW"/>
        </w:rPr>
        <w:t>à l’inhumation</w:t>
      </w:r>
      <w:r w:rsidR="00B66C85" w:rsidRPr="00B25F91">
        <w:rPr>
          <w:rFonts w:ascii="Times" w:eastAsia="PMingLiU" w:hAnsi="Times"/>
          <w:lang w:eastAsia="zh-TW"/>
        </w:rPr>
        <w:t xml:space="preserve"> </w:t>
      </w:r>
      <w:r>
        <w:rPr>
          <w:rFonts w:ascii="Times" w:eastAsia="PMingLiU" w:hAnsi="Times"/>
          <w:lang w:eastAsia="zh-TW"/>
        </w:rPr>
        <w:t xml:space="preserve">et que l’enquête du magistrat a fait toute la lumière, </w:t>
      </w:r>
      <w:r w:rsidR="00AD702A">
        <w:rPr>
          <w:rFonts w:ascii="Times" w:eastAsia="PMingLiU" w:hAnsi="Times"/>
          <w:lang w:eastAsia="zh-TW"/>
        </w:rPr>
        <w:t xml:space="preserve">on peut accorder une dispense d’examen </w:t>
      </w:r>
      <w:proofErr w:type="spellStart"/>
      <w:r w:rsidR="00AD702A">
        <w:rPr>
          <w:rFonts w:ascii="Times" w:eastAsia="PMingLiU" w:hAnsi="Times"/>
          <w:lang w:eastAsia="zh-TW"/>
        </w:rPr>
        <w:t>forensique</w:t>
      </w:r>
      <w:proofErr w:type="spellEnd"/>
      <w:r w:rsidR="00B66C85" w:rsidRPr="00B25F91">
        <w:rPr>
          <w:rFonts w:ascii="Times" w:eastAsia="PMingLiU" w:hAnsi="Times"/>
          <w:lang w:eastAsia="zh-TW"/>
        </w:rPr>
        <w:t xml:space="preserve">. Au cas où la </w:t>
      </w:r>
      <w:r w:rsidR="00AD702A">
        <w:rPr>
          <w:rFonts w:ascii="Times" w:eastAsia="PMingLiU" w:hAnsi="Times"/>
          <w:lang w:eastAsia="zh-TW"/>
        </w:rPr>
        <w:t>victime</w:t>
      </w:r>
      <w:r w:rsidR="00B66C85" w:rsidRPr="00B25F91">
        <w:rPr>
          <w:rFonts w:ascii="Times" w:eastAsia="PMingLiU" w:hAnsi="Times"/>
          <w:lang w:eastAsia="zh-TW"/>
        </w:rPr>
        <w:t xml:space="preserve"> </w:t>
      </w:r>
      <w:r w:rsidR="00DE7F58">
        <w:rPr>
          <w:rFonts w:ascii="Times" w:eastAsia="PMingLiU" w:hAnsi="Times"/>
          <w:lang w:eastAsia="zh-TW"/>
        </w:rPr>
        <w:t>a été tuée</w:t>
      </w:r>
      <w:r w:rsidR="00AD702A">
        <w:rPr>
          <w:rFonts w:ascii="Times" w:eastAsia="PMingLiU" w:hAnsi="Times"/>
          <w:lang w:eastAsia="zh-TW"/>
        </w:rPr>
        <w:t xml:space="preserve"> par des bandits, </w:t>
      </w:r>
      <w:r w:rsidR="00B66C85" w:rsidRPr="00B25F91">
        <w:rPr>
          <w:rFonts w:ascii="Times" w:eastAsia="PMingLiU" w:hAnsi="Times"/>
          <w:lang w:eastAsia="zh-TW"/>
        </w:rPr>
        <w:t xml:space="preserve"> </w:t>
      </w:r>
      <w:r w:rsidR="00AD702A">
        <w:rPr>
          <w:rFonts w:ascii="Times" w:eastAsia="PMingLiU" w:hAnsi="Times"/>
          <w:lang w:eastAsia="zh-TW"/>
        </w:rPr>
        <w:t>si</w:t>
      </w:r>
      <w:r w:rsidR="00B66C85" w:rsidRPr="00B25F91">
        <w:rPr>
          <w:rFonts w:ascii="Times" w:eastAsia="PMingLiU" w:hAnsi="Times"/>
          <w:lang w:eastAsia="zh-TW"/>
        </w:rPr>
        <w:t xml:space="preserve"> ses proches </w:t>
      </w:r>
      <w:r w:rsidR="00AD702A">
        <w:rPr>
          <w:rFonts w:ascii="Times" w:eastAsia="PMingLiU" w:hAnsi="Times"/>
          <w:lang w:eastAsia="zh-TW"/>
        </w:rPr>
        <w:t>prennent sur eux de solliciter</w:t>
      </w:r>
      <w:r w:rsidR="00B66C85" w:rsidRPr="00B25F91">
        <w:rPr>
          <w:rFonts w:ascii="Times" w:eastAsia="PMingLiU" w:hAnsi="Times"/>
          <w:lang w:eastAsia="zh-TW"/>
        </w:rPr>
        <w:t xml:space="preserve"> </w:t>
      </w:r>
      <w:r w:rsidR="00AD702A">
        <w:rPr>
          <w:rFonts w:ascii="Times" w:eastAsia="PMingLiU" w:hAnsi="Times"/>
          <w:lang w:eastAsia="zh-TW"/>
        </w:rPr>
        <w:t xml:space="preserve">une </w:t>
      </w:r>
      <w:r w:rsidR="00B66C85" w:rsidRPr="00B25F91">
        <w:rPr>
          <w:rFonts w:ascii="Times" w:eastAsia="PMingLiU" w:hAnsi="Times"/>
          <w:lang w:eastAsia="zh-TW"/>
        </w:rPr>
        <w:t xml:space="preserve">dispense </w:t>
      </w:r>
      <w:r w:rsidR="00AD702A">
        <w:rPr>
          <w:rFonts w:ascii="Times" w:eastAsia="PMingLiU" w:hAnsi="Times"/>
          <w:lang w:eastAsia="zh-TW"/>
        </w:rPr>
        <w:t>d’examen</w:t>
      </w:r>
      <w:r w:rsidR="00B66C85" w:rsidRPr="00B25F91">
        <w:rPr>
          <w:rFonts w:ascii="Times" w:eastAsia="PMingLiU" w:hAnsi="Times"/>
          <w:lang w:eastAsia="zh-TW"/>
        </w:rPr>
        <w:t>, les fonctionnaires, après avoir</w:t>
      </w:r>
      <w:r w:rsidR="00AD702A">
        <w:rPr>
          <w:rFonts w:ascii="Times" w:eastAsia="PMingLiU" w:hAnsi="Times"/>
          <w:lang w:eastAsia="zh-TW"/>
        </w:rPr>
        <w:t xml:space="preserve"> constaté</w:t>
      </w:r>
      <w:r w:rsidR="00B66C85" w:rsidRPr="00B25F91">
        <w:rPr>
          <w:rFonts w:ascii="Times" w:eastAsia="PMingLiU" w:hAnsi="Times"/>
          <w:lang w:eastAsia="zh-TW"/>
        </w:rPr>
        <w:t xml:space="preserve"> l</w:t>
      </w:r>
      <w:r w:rsidR="00AD702A">
        <w:rPr>
          <w:rFonts w:ascii="Times" w:eastAsia="PMingLiU" w:hAnsi="Times"/>
          <w:lang w:eastAsia="zh-TW"/>
        </w:rPr>
        <w:t>es plaies et blessures</w:t>
      </w:r>
      <w:r w:rsidR="00B66C85" w:rsidRPr="00B25F91">
        <w:rPr>
          <w:rFonts w:ascii="Times" w:eastAsia="PMingLiU" w:hAnsi="Times"/>
          <w:lang w:eastAsia="zh-TW"/>
        </w:rPr>
        <w:t xml:space="preserve">, leur rendent la dépouille pour enterrement. </w:t>
      </w:r>
      <w:r w:rsidR="00AD702A">
        <w:rPr>
          <w:rFonts w:ascii="Times" w:eastAsia="PMingLiU" w:hAnsi="Times"/>
          <w:lang w:eastAsia="zh-TW"/>
        </w:rPr>
        <w:t>Quant au détenu qui meurt de</w:t>
      </w:r>
      <w:r w:rsidR="00B66C85" w:rsidRPr="00B25F91">
        <w:rPr>
          <w:rFonts w:ascii="Times" w:eastAsia="PMingLiU" w:hAnsi="Times"/>
          <w:lang w:eastAsia="zh-TW"/>
        </w:rPr>
        <w:t xml:space="preserve"> maladie malgré le</w:t>
      </w:r>
      <w:r w:rsidR="00AD702A">
        <w:rPr>
          <w:rFonts w:ascii="Times" w:eastAsia="PMingLiU" w:hAnsi="Times"/>
          <w:lang w:eastAsia="zh-TW"/>
        </w:rPr>
        <w:t>s</w:t>
      </w:r>
      <w:r w:rsidR="00B66C85" w:rsidRPr="00B25F91">
        <w:rPr>
          <w:rFonts w:ascii="Times" w:eastAsia="PMingLiU" w:hAnsi="Times"/>
          <w:lang w:eastAsia="zh-TW"/>
        </w:rPr>
        <w:t xml:space="preserve"> soin</w:t>
      </w:r>
      <w:r w:rsidR="00AD702A">
        <w:rPr>
          <w:rFonts w:ascii="Times" w:eastAsia="PMingLiU" w:hAnsi="Times"/>
          <w:lang w:eastAsia="zh-TW"/>
        </w:rPr>
        <w:t>s</w:t>
      </w:r>
      <w:r w:rsidR="00B66C85" w:rsidRPr="00B25F91">
        <w:rPr>
          <w:rFonts w:ascii="Times" w:eastAsia="PMingLiU" w:hAnsi="Times"/>
          <w:lang w:eastAsia="zh-TW"/>
        </w:rPr>
        <w:t xml:space="preserve"> </w:t>
      </w:r>
      <w:r w:rsidR="00AD702A">
        <w:rPr>
          <w:rFonts w:ascii="Times" w:eastAsia="PMingLiU" w:hAnsi="Times"/>
          <w:lang w:eastAsia="zh-TW"/>
        </w:rPr>
        <w:t>prodigués par son garant, si les causes de la mort ne font aucun doute</w:t>
      </w:r>
      <w:r w:rsidR="00B66C85" w:rsidRPr="00B25F91">
        <w:rPr>
          <w:rFonts w:ascii="Times" w:eastAsia="PMingLiU" w:hAnsi="Times"/>
          <w:lang w:eastAsia="zh-TW"/>
        </w:rPr>
        <w:t xml:space="preserve">, il est également permis à ses proches de solliciter </w:t>
      </w:r>
      <w:r w:rsidR="00AD702A" w:rsidRPr="00125406">
        <w:rPr>
          <w:rFonts w:ascii="Times" w:eastAsia="PMingLiU" w:hAnsi="Times"/>
          <w:b/>
          <w:lang w:eastAsia="zh-TW"/>
        </w:rPr>
        <w:t xml:space="preserve">une </w:t>
      </w:r>
      <w:r w:rsidR="00125406" w:rsidRPr="00125406">
        <w:rPr>
          <w:rFonts w:ascii="Times" w:eastAsia="PMingLiU" w:hAnsi="Times"/>
          <w:b/>
          <w:lang w:eastAsia="zh-TW"/>
        </w:rPr>
        <w:t xml:space="preserve">dispense du contre-examen de vérification ( ?? </w:t>
      </w:r>
      <w:r w:rsidR="00B66C85" w:rsidRPr="00125406">
        <w:rPr>
          <w:rFonts w:ascii="Times" w:eastAsia="PMingLiU" w:hAnsi="Times"/>
          <w:b/>
          <w:lang w:eastAsia="zh-TW"/>
        </w:rPr>
        <w:t>覆檢</w:t>
      </w:r>
      <w:r w:rsidR="00B66C85" w:rsidRPr="00125406">
        <w:rPr>
          <w:rStyle w:val="Marquenotebasdepage"/>
          <w:rFonts w:ascii="Times" w:eastAsia="PMingLiU" w:hAnsi="Times"/>
          <w:b/>
          <w:lang w:eastAsia="zh-TW"/>
        </w:rPr>
        <w:footnoteReference w:id="2"/>
      </w:r>
      <w:r w:rsidR="00125406" w:rsidRPr="00125406">
        <w:rPr>
          <w:rFonts w:ascii="Times" w:eastAsia="PMingLiU" w:hAnsi="Times"/>
          <w:b/>
          <w:lang w:eastAsia="zh-TW"/>
        </w:rPr>
        <w:t>)</w:t>
      </w:r>
      <w:r w:rsidR="00B66C85" w:rsidRPr="00125406">
        <w:rPr>
          <w:rFonts w:ascii="Times" w:eastAsia="PMingLiU" w:hAnsi="Times"/>
          <w:b/>
          <w:lang w:eastAsia="zh-TW"/>
        </w:rPr>
        <w:t>.</w:t>
      </w:r>
      <w:r w:rsidR="00125406">
        <w:rPr>
          <w:rFonts w:ascii="Times" w:eastAsia="PMingLiU" w:hAnsi="Times"/>
          <w:lang w:eastAsia="zh-TW"/>
        </w:rPr>
        <w:t xml:space="preserve"> Lorsque la mort  été causée par un homicide ou  des blessures intentionnelles, même si les proches en font la demande, la dispense d’examen </w:t>
      </w:r>
      <w:proofErr w:type="spellStart"/>
      <w:r w:rsidR="00125406">
        <w:rPr>
          <w:rFonts w:ascii="Times" w:eastAsia="PMingLiU" w:hAnsi="Times"/>
          <w:lang w:eastAsia="zh-TW"/>
        </w:rPr>
        <w:t>forensique</w:t>
      </w:r>
      <w:proofErr w:type="spellEnd"/>
      <w:r w:rsidR="00125406">
        <w:rPr>
          <w:rFonts w:ascii="Times" w:eastAsia="PMingLiU" w:hAnsi="Times"/>
          <w:lang w:eastAsia="zh-TW"/>
        </w:rPr>
        <w:t xml:space="preserve"> ne peut être accordée.</w:t>
      </w:r>
    </w:p>
    <w:p w14:paraId="41B8D9D9" w14:textId="77777777" w:rsidR="008D5527" w:rsidRPr="00B25F91" w:rsidRDefault="005B43D3" w:rsidP="00C47AB6">
      <w:pPr>
        <w:pStyle w:val="NormalWeb"/>
        <w:spacing w:before="2" w:after="2"/>
        <w:ind w:left="960"/>
        <w:jc w:val="both"/>
        <w:rPr>
          <w:rFonts w:ascii="Times" w:hAnsi="Times"/>
        </w:rPr>
      </w:pPr>
      <w:hyperlink r:id="rId8" w:anchor="lu412" w:history="1">
        <w:r w:rsidR="008D5527" w:rsidRPr="00B25F91">
          <w:rPr>
            <w:rStyle w:val="Lienhypertexte"/>
            <w:rFonts w:ascii="Times" w:hAnsi="Times"/>
          </w:rPr>
          <w:t>412</w:t>
        </w:r>
      </w:hyperlink>
      <w:r w:rsidR="008D5527" w:rsidRPr="00B25F91">
        <w:rPr>
          <w:rFonts w:ascii="Times" w:hAnsi="Times"/>
        </w:rPr>
        <w:t>-3</w:t>
      </w:r>
    </w:p>
    <w:p w14:paraId="6B8A4115" w14:textId="77777777" w:rsidR="00B52DCF" w:rsidRPr="00B25F91" w:rsidRDefault="008D5527" w:rsidP="00C47AB6">
      <w:pPr>
        <w:pStyle w:val="NormalWeb"/>
        <w:spacing w:before="2" w:after="2"/>
        <w:ind w:left="960"/>
        <w:jc w:val="both"/>
        <w:rPr>
          <w:rFonts w:ascii="Times" w:hAnsi="Times"/>
        </w:rPr>
      </w:pPr>
      <w:r w:rsidRPr="00B25F91">
        <w:rPr>
          <w:rFonts w:ascii="Times" w:hAnsi="Times"/>
        </w:rPr>
        <w:t>凡人命重案，必檢驗屍傷，註明致命傷痕，一經檢明，即應定擬。若屍親控告傷痕互異者，許再行覆檢，勿得違例三檢，致滋拖累。如有疑似之處，委別官審理者，所委之官帶同仵作親詣屍所，不得弔屍檢驗。</w:t>
      </w:r>
    </w:p>
    <w:p w14:paraId="31EFA802" w14:textId="4452FC27" w:rsidR="008D5527" w:rsidRPr="00B25F91" w:rsidRDefault="00516428" w:rsidP="00A6068B">
      <w:pPr>
        <w:pStyle w:val="NormalWeb"/>
        <w:spacing w:before="2" w:after="2"/>
        <w:jc w:val="both"/>
        <w:rPr>
          <w:rFonts w:ascii="Times" w:hAnsi="Times"/>
        </w:rPr>
      </w:pPr>
      <w:r>
        <w:rPr>
          <w:rFonts w:ascii="Times" w:hAnsi="Times"/>
        </w:rPr>
        <w:t>Pour tout grave cas d’homicide</w:t>
      </w:r>
      <w:r w:rsidR="00B52DCF" w:rsidRPr="00B25F91">
        <w:rPr>
          <w:rFonts w:ascii="Times" w:hAnsi="Times"/>
        </w:rPr>
        <w:t xml:space="preserve">, il faut examiner les blessures sur le cadavre et noter celles </w:t>
      </w:r>
      <w:r>
        <w:rPr>
          <w:rFonts w:ascii="Times" w:hAnsi="Times"/>
        </w:rPr>
        <w:t>qui ont atteint un centre vital. Dès que le résultat</w:t>
      </w:r>
      <w:r w:rsidR="00B52DCF" w:rsidRPr="00B25F91">
        <w:rPr>
          <w:rFonts w:ascii="Times" w:hAnsi="Times"/>
        </w:rPr>
        <w:t xml:space="preserve"> </w:t>
      </w:r>
      <w:r>
        <w:rPr>
          <w:rFonts w:ascii="Times" w:hAnsi="Times"/>
        </w:rPr>
        <w:t>de l’examen est clair, il faut sans délai fixer la sentence</w:t>
      </w:r>
      <w:r w:rsidR="00B52DCF" w:rsidRPr="00B25F91">
        <w:rPr>
          <w:rFonts w:ascii="Times" w:hAnsi="Times"/>
        </w:rPr>
        <w:t xml:space="preserve">. Si les proches de la victime </w:t>
      </w:r>
      <w:r>
        <w:rPr>
          <w:rFonts w:ascii="Times" w:hAnsi="Times"/>
        </w:rPr>
        <w:t>portent plainte en disant que les blessures diffèrent de celle</w:t>
      </w:r>
      <w:r w:rsidR="00DE4976">
        <w:rPr>
          <w:rFonts w:ascii="Times" w:hAnsi="Times"/>
        </w:rPr>
        <w:t>s</w:t>
      </w:r>
      <w:r>
        <w:rPr>
          <w:rFonts w:ascii="Times" w:hAnsi="Times"/>
        </w:rPr>
        <w:t xml:space="preserve"> qui ont été constatées, on peut leur</w:t>
      </w:r>
      <w:r w:rsidR="00DF5527">
        <w:rPr>
          <w:rFonts w:ascii="Times" w:hAnsi="Times"/>
        </w:rPr>
        <w:t xml:space="preserve"> accorder un contre-examen, mais il ne faut pas accorder un</w:t>
      </w:r>
      <w:r w:rsidR="00B52DCF" w:rsidRPr="00B25F91">
        <w:rPr>
          <w:rFonts w:ascii="Times" w:hAnsi="Times"/>
        </w:rPr>
        <w:t xml:space="preserve"> troisième </w:t>
      </w:r>
      <w:r w:rsidR="00DF5527">
        <w:rPr>
          <w:rFonts w:ascii="Times" w:hAnsi="Times"/>
        </w:rPr>
        <w:t xml:space="preserve">examen </w:t>
      </w:r>
      <w:r w:rsidR="00C81652">
        <w:rPr>
          <w:rFonts w:ascii="Times" w:hAnsi="Times"/>
        </w:rPr>
        <w:t>en enfreignant les</w:t>
      </w:r>
      <w:r w:rsidR="00DF5527">
        <w:rPr>
          <w:rFonts w:ascii="Times" w:hAnsi="Times"/>
        </w:rPr>
        <w:t xml:space="preserve"> règlements ( ?)</w:t>
      </w:r>
      <w:r w:rsidR="00B52DCF" w:rsidRPr="00B25F91">
        <w:rPr>
          <w:rFonts w:ascii="Times" w:hAnsi="Times"/>
        </w:rPr>
        <w:t xml:space="preserve">, ce qui pourrait </w:t>
      </w:r>
      <w:r w:rsidR="00C81652">
        <w:rPr>
          <w:rFonts w:ascii="Times" w:hAnsi="Times"/>
        </w:rPr>
        <w:t xml:space="preserve">finir par impliquer à tort des innocents. S’il y a matière à doute et qu’on délègue </w:t>
      </w:r>
      <w:r w:rsidR="00271DEE">
        <w:rPr>
          <w:rFonts w:ascii="Times" w:hAnsi="Times"/>
        </w:rPr>
        <w:t xml:space="preserve">alors </w:t>
      </w:r>
      <w:r w:rsidR="00C81652">
        <w:rPr>
          <w:rFonts w:ascii="Times" w:hAnsi="Times"/>
        </w:rPr>
        <w:t xml:space="preserve">à un </w:t>
      </w:r>
      <w:r w:rsidR="00B52DCF" w:rsidRPr="00B25F91">
        <w:rPr>
          <w:rFonts w:ascii="Times" w:hAnsi="Times"/>
        </w:rPr>
        <w:t>autre fonctionnaire</w:t>
      </w:r>
      <w:r w:rsidR="00271DEE">
        <w:rPr>
          <w:rFonts w:ascii="Times" w:hAnsi="Times"/>
        </w:rPr>
        <w:t xml:space="preserve"> les soins de l’enquête</w:t>
      </w:r>
      <w:r w:rsidR="00B52DCF" w:rsidRPr="00B25F91">
        <w:rPr>
          <w:rFonts w:ascii="Times" w:hAnsi="Times"/>
        </w:rPr>
        <w:t xml:space="preserve">, </w:t>
      </w:r>
      <w:r w:rsidR="00271DEE">
        <w:rPr>
          <w:rFonts w:ascii="Times" w:hAnsi="Times"/>
        </w:rPr>
        <w:t>ce dernier,  accompagné de son exécuteur d’autopsie, doit se déplacer de leur préfecture d’origine jusque sur le site où le corps doit être examiné, il est interdit d’enlever</w:t>
      </w:r>
      <w:r w:rsidR="00B52DCF" w:rsidRPr="00B25F91">
        <w:rPr>
          <w:rFonts w:ascii="Times" w:hAnsi="Times"/>
        </w:rPr>
        <w:t xml:space="preserve"> le c</w:t>
      </w:r>
      <w:r w:rsidR="00271DEE">
        <w:rPr>
          <w:rFonts w:ascii="Times" w:hAnsi="Times"/>
        </w:rPr>
        <w:t>orps pour l’examiner ailleurs</w:t>
      </w:r>
      <w:r w:rsidR="00B52DCF" w:rsidRPr="00B25F91">
        <w:rPr>
          <w:rFonts w:ascii="Times" w:hAnsi="Times"/>
        </w:rPr>
        <w:t>.</w:t>
      </w:r>
    </w:p>
    <w:p w14:paraId="520D256C" w14:textId="77777777" w:rsidR="008D5527" w:rsidRPr="00B25F91" w:rsidRDefault="005B43D3" w:rsidP="00C47AB6">
      <w:pPr>
        <w:pStyle w:val="NormalWeb"/>
        <w:spacing w:before="2" w:after="2"/>
        <w:ind w:left="960"/>
        <w:jc w:val="both"/>
        <w:rPr>
          <w:rFonts w:ascii="Times" w:hAnsi="Times"/>
        </w:rPr>
      </w:pPr>
      <w:hyperlink r:id="rId9" w:anchor="lu412" w:history="1">
        <w:r w:rsidR="008D5527" w:rsidRPr="00B25F91">
          <w:rPr>
            <w:rStyle w:val="Lienhypertexte"/>
            <w:rFonts w:ascii="Times" w:hAnsi="Times"/>
          </w:rPr>
          <w:t>412</w:t>
        </w:r>
      </w:hyperlink>
      <w:r w:rsidR="008D5527" w:rsidRPr="00B25F91">
        <w:rPr>
          <w:rFonts w:ascii="Times" w:hAnsi="Times"/>
        </w:rPr>
        <w:t>-4</w:t>
      </w:r>
    </w:p>
    <w:p w14:paraId="5D619220" w14:textId="77777777" w:rsidR="00971A6F" w:rsidRDefault="008D5527" w:rsidP="00C47AB6">
      <w:pPr>
        <w:pStyle w:val="NormalWeb"/>
        <w:spacing w:before="2" w:after="2"/>
        <w:ind w:left="960"/>
        <w:jc w:val="both"/>
        <w:rPr>
          <w:rFonts w:ascii="Times" w:hAnsi="Times"/>
        </w:rPr>
      </w:pPr>
      <w:r w:rsidRPr="00B25F91">
        <w:rPr>
          <w:rFonts w:ascii="Times" w:hAnsi="Times"/>
        </w:rPr>
        <w:t>凡外省駐防旗人遇有命案，該管旗員，即會同理事同知、通判，帶領領催、屍親人等，公同檢驗。一面詳報上司，一面會同審擬。如無理事同知、通判之處，即會同有司官，公同檢驗，詳報審擬。</w:t>
      </w:r>
    </w:p>
    <w:p w14:paraId="032FB311" w14:textId="060EFB00" w:rsidR="008D5527" w:rsidRPr="00B25F91" w:rsidRDefault="00776D2B" w:rsidP="00971A6F">
      <w:pPr>
        <w:pStyle w:val="NormalWeb"/>
        <w:spacing w:before="2" w:after="2"/>
        <w:jc w:val="both"/>
        <w:rPr>
          <w:rFonts w:ascii="Times" w:hAnsi="Times"/>
        </w:rPr>
      </w:pPr>
      <w:r>
        <w:rPr>
          <w:rFonts w:ascii="Times" w:hAnsi="Times"/>
        </w:rPr>
        <w:t xml:space="preserve">Pour tout </w:t>
      </w:r>
      <w:r w:rsidR="00971A6F">
        <w:rPr>
          <w:rFonts w:ascii="Times" w:hAnsi="Times"/>
        </w:rPr>
        <w:t xml:space="preserve">homicide survenant entre membres d’une bannière en garnison dans une province, </w:t>
      </w:r>
      <w:r w:rsidR="005F0ED5">
        <w:rPr>
          <w:rFonts w:ascii="Times" w:hAnsi="Times"/>
        </w:rPr>
        <w:t>le fonctionnaire</w:t>
      </w:r>
      <w:r w:rsidR="00971A6F">
        <w:rPr>
          <w:rFonts w:ascii="Times" w:hAnsi="Times"/>
        </w:rPr>
        <w:t xml:space="preserve"> </w:t>
      </w:r>
      <w:r w:rsidR="005F0ED5">
        <w:rPr>
          <w:rFonts w:ascii="Times" w:hAnsi="Times"/>
        </w:rPr>
        <w:t>en charge de la bannière doit</w:t>
      </w:r>
      <w:r w:rsidR="00971A6F">
        <w:rPr>
          <w:rFonts w:ascii="Times" w:hAnsi="Times"/>
        </w:rPr>
        <w:t xml:space="preserve"> immédiatement se réunir avec le s</w:t>
      </w:r>
      <w:r w:rsidR="005F0ED5">
        <w:rPr>
          <w:rFonts w:ascii="Times" w:hAnsi="Times"/>
        </w:rPr>
        <w:t>ous-</w:t>
      </w:r>
      <w:r w:rsidR="00971A6F">
        <w:rPr>
          <w:rFonts w:ascii="Times" w:hAnsi="Times"/>
        </w:rPr>
        <w:t xml:space="preserve">préfet </w:t>
      </w:r>
      <w:r w:rsidR="00593171">
        <w:rPr>
          <w:rFonts w:ascii="Times" w:hAnsi="Times"/>
        </w:rPr>
        <w:t xml:space="preserve">chargé </w:t>
      </w:r>
      <w:r w:rsidR="005F0ED5">
        <w:rPr>
          <w:rFonts w:ascii="Times" w:hAnsi="Times"/>
        </w:rPr>
        <w:t>des litiges entre les Bannières et la population civile</w:t>
      </w:r>
      <w:r w:rsidR="005F0ED5">
        <w:rPr>
          <w:rStyle w:val="Marquenotebasdepage"/>
          <w:rFonts w:ascii="Times" w:hAnsi="Times"/>
        </w:rPr>
        <w:footnoteReference w:id="3"/>
      </w:r>
      <w:r w:rsidR="007242F6">
        <w:rPr>
          <w:rFonts w:ascii="Times" w:hAnsi="Times"/>
        </w:rPr>
        <w:t xml:space="preserve"> ainsi qu’avec l’assistant </w:t>
      </w:r>
      <w:r w:rsidR="005F0ED5">
        <w:rPr>
          <w:rFonts w:ascii="Times" w:hAnsi="Times"/>
        </w:rPr>
        <w:t>sous-préfet chargé des questions judiciaire</w:t>
      </w:r>
      <w:r w:rsidR="005F0ED5">
        <w:rPr>
          <w:rStyle w:val="Marquenotebasdepage"/>
          <w:rFonts w:ascii="Times" w:hAnsi="Times"/>
        </w:rPr>
        <w:footnoteReference w:id="4"/>
      </w:r>
      <w:r w:rsidR="0049280A">
        <w:rPr>
          <w:rFonts w:ascii="Times" w:hAnsi="Times"/>
        </w:rPr>
        <w:t xml:space="preserve">, et amener </w:t>
      </w:r>
      <w:r w:rsidR="00593171">
        <w:rPr>
          <w:rFonts w:ascii="Times" w:hAnsi="Times"/>
        </w:rPr>
        <w:t xml:space="preserve">de gré ou de force </w:t>
      </w:r>
      <w:proofErr w:type="gramStart"/>
      <w:r w:rsidR="00593171">
        <w:rPr>
          <w:rFonts w:ascii="Times" w:hAnsi="Times"/>
        </w:rPr>
        <w:t>( ??</w:t>
      </w:r>
      <w:proofErr w:type="gramEnd"/>
      <w:r w:rsidR="00593171">
        <w:rPr>
          <w:rFonts w:ascii="Times" w:hAnsi="Times"/>
        </w:rPr>
        <w:t xml:space="preserve">) les parents du mort et autres proches à </w:t>
      </w:r>
      <w:r w:rsidR="002115E8">
        <w:rPr>
          <w:rFonts w:ascii="Times" w:hAnsi="Times"/>
        </w:rPr>
        <w:t>se réunir pour assister ensemble</w:t>
      </w:r>
      <w:r w:rsidR="00593171">
        <w:rPr>
          <w:rFonts w:ascii="Times" w:hAnsi="Times"/>
        </w:rPr>
        <w:t xml:space="preserve"> à l’examen </w:t>
      </w:r>
      <w:proofErr w:type="spellStart"/>
      <w:r w:rsidR="00593171">
        <w:rPr>
          <w:rFonts w:ascii="Times" w:hAnsi="Times"/>
        </w:rPr>
        <w:t>forensique</w:t>
      </w:r>
      <w:proofErr w:type="spellEnd"/>
      <w:r w:rsidR="00593171">
        <w:rPr>
          <w:rFonts w:ascii="Times" w:hAnsi="Times"/>
        </w:rPr>
        <w:t xml:space="preserve">. Il faut d’une part faire un rapport détaillé à l’intention des instances supérieures, d’autre part </w:t>
      </w:r>
      <w:r>
        <w:rPr>
          <w:rFonts w:ascii="Times" w:hAnsi="Times"/>
        </w:rPr>
        <w:t>rassembler toutes les parties pour mener</w:t>
      </w:r>
      <w:r w:rsidR="00593171">
        <w:rPr>
          <w:rFonts w:ascii="Times" w:hAnsi="Times"/>
        </w:rPr>
        <w:t xml:space="preserve"> l’instruction et </w:t>
      </w:r>
      <w:r>
        <w:rPr>
          <w:rFonts w:ascii="Times" w:hAnsi="Times"/>
        </w:rPr>
        <w:t>fixer la</w:t>
      </w:r>
      <w:r w:rsidR="00593171">
        <w:rPr>
          <w:rFonts w:ascii="Times" w:hAnsi="Times"/>
        </w:rPr>
        <w:t xml:space="preserve"> sentence. </w:t>
      </w:r>
      <w:r w:rsidR="005847C9">
        <w:rPr>
          <w:rFonts w:ascii="Times" w:hAnsi="Times"/>
        </w:rPr>
        <w:t xml:space="preserve">S’il n’y a ni le sous préfet adjoint chargé de régler les cas judiciaires, ni assistant judiciaire, c’est alors avec le magistrat local </w:t>
      </w:r>
      <w:proofErr w:type="gramStart"/>
      <w:r w:rsidR="005847C9">
        <w:rPr>
          <w:rFonts w:ascii="Times" w:hAnsi="Times"/>
        </w:rPr>
        <w:t>( ??</w:t>
      </w:r>
      <w:proofErr w:type="gramEnd"/>
      <w:r w:rsidR="005847C9">
        <w:rPr>
          <w:rFonts w:ascii="Times" w:hAnsi="Times"/>
        </w:rPr>
        <w:t xml:space="preserve"> </w:t>
      </w:r>
      <w:r w:rsidR="005847C9" w:rsidRPr="00B25F91">
        <w:rPr>
          <w:rFonts w:ascii="Times" w:hAnsi="Times"/>
        </w:rPr>
        <w:t>司官</w:t>
      </w:r>
      <w:r w:rsidR="005847C9">
        <w:rPr>
          <w:rFonts w:ascii="Times" w:hAnsi="Times"/>
        </w:rPr>
        <w:t>) que les autorités de la bannière doivent mener l’autopsie, faire le rapport détaillé sur l’enq</w:t>
      </w:r>
      <w:r>
        <w:rPr>
          <w:rFonts w:ascii="Times" w:hAnsi="Times"/>
        </w:rPr>
        <w:t xml:space="preserve">uête et proposer une sentence. </w:t>
      </w:r>
    </w:p>
    <w:p w14:paraId="57F533B2" w14:textId="77777777" w:rsidR="008D5527" w:rsidRPr="00B25F91" w:rsidRDefault="005B43D3" w:rsidP="00C47AB6">
      <w:pPr>
        <w:pStyle w:val="NormalWeb"/>
        <w:spacing w:before="2" w:after="2"/>
        <w:ind w:left="960"/>
        <w:jc w:val="both"/>
        <w:rPr>
          <w:rFonts w:ascii="Times" w:hAnsi="Times"/>
        </w:rPr>
      </w:pPr>
      <w:hyperlink r:id="rId10" w:anchor="lu412" w:history="1">
        <w:r w:rsidR="008D5527" w:rsidRPr="00B25F91">
          <w:rPr>
            <w:rStyle w:val="Lienhypertexte"/>
            <w:rFonts w:ascii="Times" w:hAnsi="Times"/>
          </w:rPr>
          <w:t>412</w:t>
        </w:r>
      </w:hyperlink>
      <w:r w:rsidR="008D5527" w:rsidRPr="00B25F91">
        <w:rPr>
          <w:rFonts w:ascii="Times" w:hAnsi="Times"/>
        </w:rPr>
        <w:t>-5</w:t>
      </w:r>
    </w:p>
    <w:p w14:paraId="74CD070F" w14:textId="77777777" w:rsidR="00B52DCF" w:rsidRPr="00B25F91" w:rsidRDefault="008D5527" w:rsidP="00C47AB6">
      <w:pPr>
        <w:pStyle w:val="NormalWeb"/>
        <w:spacing w:before="2" w:after="2"/>
        <w:ind w:left="960"/>
        <w:jc w:val="both"/>
        <w:rPr>
          <w:rFonts w:ascii="Times" w:hAnsi="Times"/>
        </w:rPr>
      </w:pPr>
      <w:r w:rsidRPr="00B25F91">
        <w:rPr>
          <w:rFonts w:ascii="Times" w:hAnsi="Times"/>
        </w:rPr>
        <w:t>凡人命呈報到官，該地方印官立即親往相驗，止許隨帶仵作一名、刑書一名、皂隸二名，一切夫馬飯食，俱自行備用，并嚴禁書役人等，不許需索分文。其果係輕生自盡，毆非重傷者，即於屍場審明定案，將原、被、鄰、證人等釋放。如該地方印官不行自備夫馬，取之地方者，照因公科斂律議處。書役需索者，照例計贜，分別治罪。如故意遲延拖累者，照易結、不結例處分。若係自盡，並無他故，屍親捏詞控告，按誣告律科斷。如刁悍之徒，藉命</w:t>
      </w:r>
      <w:r w:rsidRPr="00BD0967">
        <w:rPr>
          <w:rFonts w:ascii="Times" w:hAnsi="Times"/>
        </w:rPr>
        <w:lastRenderedPageBreak/>
        <w:t>打搶</w:t>
      </w:r>
      <w:r w:rsidRPr="00B25F91">
        <w:rPr>
          <w:rFonts w:ascii="Times" w:hAnsi="Times"/>
        </w:rPr>
        <w:t>者，照白晝搶奪例擬罪，仍追搶毀物件，給還原主。其勒索私和者，照私和律科斷，勒索財物入官。至該管上司於州、縣所報自盡命案，果屬明確無疑者，不得苛駁，准予立案，若情事未明，仍即秉公指駁，俟其詳覆核奪。</w:t>
      </w:r>
    </w:p>
    <w:p w14:paraId="7894C1A8" w14:textId="2411A751" w:rsidR="008D5527" w:rsidRPr="00B25F91" w:rsidRDefault="00B52DCF" w:rsidP="00D45C85">
      <w:pPr>
        <w:pStyle w:val="NormalWeb"/>
        <w:spacing w:before="2" w:after="2"/>
        <w:jc w:val="both"/>
        <w:rPr>
          <w:rFonts w:ascii="Times" w:hAnsi="Times"/>
        </w:rPr>
      </w:pPr>
      <w:r w:rsidRPr="00B25F91">
        <w:rPr>
          <w:rFonts w:ascii="Times" w:eastAsia="PMingLiU" w:hAnsi="Times"/>
          <w:lang w:eastAsia="zh-TW"/>
        </w:rPr>
        <w:t xml:space="preserve">Dès qu’un homicide est signalé auprès des autorités, le fonctionnaire local titulaire </w:t>
      </w:r>
      <w:r w:rsidR="00542ED1">
        <w:rPr>
          <w:rFonts w:ascii="Times" w:eastAsia="PMingLiU" w:hAnsi="Times"/>
          <w:lang w:eastAsia="zh-TW"/>
        </w:rPr>
        <w:t xml:space="preserve">du sceau se rend immédiatement </w:t>
      </w:r>
      <w:r w:rsidRPr="00B25F91">
        <w:rPr>
          <w:rFonts w:ascii="Times" w:eastAsia="PMingLiU" w:hAnsi="Times"/>
          <w:lang w:eastAsia="zh-TW"/>
        </w:rPr>
        <w:t>à l’</w:t>
      </w:r>
      <w:r w:rsidR="00542ED1">
        <w:rPr>
          <w:rFonts w:ascii="Times" w:eastAsia="PMingLiU" w:hAnsi="Times"/>
          <w:lang w:eastAsia="zh-TW"/>
        </w:rPr>
        <w:t>endroit où se trouve le cadavre</w:t>
      </w:r>
      <w:r w:rsidRPr="00B25F91">
        <w:rPr>
          <w:rFonts w:ascii="Times" w:eastAsia="PMingLiU" w:hAnsi="Times"/>
          <w:lang w:eastAsia="zh-TW"/>
        </w:rPr>
        <w:t xml:space="preserve"> pour procéder à l’examen. Il </w:t>
      </w:r>
      <w:r w:rsidR="00401C12">
        <w:rPr>
          <w:rFonts w:ascii="Times" w:eastAsia="PMingLiU" w:hAnsi="Times"/>
          <w:lang w:eastAsia="zh-TW"/>
        </w:rPr>
        <w:t>n</w:t>
      </w:r>
      <w:r w:rsidR="006C134E">
        <w:rPr>
          <w:rFonts w:ascii="Times" w:eastAsia="PMingLiU" w:hAnsi="Times"/>
          <w:lang w:eastAsia="zh-TW"/>
        </w:rPr>
        <w:t xml:space="preserve">’est autorisé à </w:t>
      </w:r>
      <w:r w:rsidR="00776D2B">
        <w:rPr>
          <w:rFonts w:ascii="Times" w:eastAsia="PMingLiU" w:hAnsi="Times"/>
          <w:lang w:eastAsia="zh-TW"/>
        </w:rPr>
        <w:t>se faire accompagner</w:t>
      </w:r>
      <w:r w:rsidRPr="00B25F91">
        <w:rPr>
          <w:rFonts w:ascii="Times" w:eastAsia="PMingLiU" w:hAnsi="Times"/>
          <w:lang w:eastAsia="zh-TW"/>
        </w:rPr>
        <w:t xml:space="preserve"> </w:t>
      </w:r>
      <w:r w:rsidR="00776D2B">
        <w:rPr>
          <w:rFonts w:ascii="Times" w:eastAsia="PMingLiU" w:hAnsi="Times"/>
          <w:lang w:eastAsia="zh-TW"/>
        </w:rPr>
        <w:t>que de l’</w:t>
      </w:r>
      <w:r w:rsidRPr="00B25F91">
        <w:rPr>
          <w:rFonts w:ascii="Times" w:eastAsia="PMingLiU" w:hAnsi="Times"/>
          <w:lang w:eastAsia="zh-TW"/>
        </w:rPr>
        <w:t>exécuteur d’autopsie, d’un commis spécialiste des affaires judiciaires</w:t>
      </w:r>
      <w:r w:rsidR="002115E8">
        <w:rPr>
          <w:rFonts w:ascii="Times" w:eastAsia="PMingLiU" w:hAnsi="Times"/>
          <w:lang w:eastAsia="zh-TW"/>
        </w:rPr>
        <w:t xml:space="preserve"> et de deux greffiers</w:t>
      </w:r>
      <w:r w:rsidR="00885E6B">
        <w:rPr>
          <w:rFonts w:ascii="Times" w:eastAsia="PMingLiU" w:hAnsi="Times"/>
          <w:lang w:eastAsia="zh-TW"/>
        </w:rPr>
        <w:t xml:space="preserve">. Les porteurs, les chevaux, les provisions de bouche </w:t>
      </w:r>
      <w:r w:rsidR="003C7EDD">
        <w:rPr>
          <w:rFonts w:ascii="Times" w:eastAsia="PMingLiU" w:hAnsi="Times"/>
          <w:lang w:eastAsia="zh-TW"/>
        </w:rPr>
        <w:t xml:space="preserve">doivent rester </w:t>
      </w:r>
      <w:r w:rsidR="00885E6B">
        <w:rPr>
          <w:rFonts w:ascii="Times" w:eastAsia="PMingLiU" w:hAnsi="Times"/>
          <w:lang w:eastAsia="zh-TW"/>
        </w:rPr>
        <w:t>à la charge exclusive du magistrat</w:t>
      </w:r>
      <w:r w:rsidR="003C7EDD">
        <w:rPr>
          <w:rFonts w:ascii="Times" w:eastAsia="PMingLiU" w:hAnsi="Times"/>
          <w:lang w:eastAsia="zh-TW"/>
        </w:rPr>
        <w:t xml:space="preserve">, et il </w:t>
      </w:r>
      <w:r w:rsidR="00885E6B">
        <w:rPr>
          <w:rFonts w:ascii="Times" w:eastAsia="PMingLiU" w:hAnsi="Times"/>
          <w:lang w:eastAsia="zh-TW"/>
        </w:rPr>
        <w:t xml:space="preserve">est </w:t>
      </w:r>
      <w:r w:rsidR="003C7EDD">
        <w:rPr>
          <w:rFonts w:ascii="Times" w:eastAsia="PMingLiU" w:hAnsi="Times"/>
          <w:lang w:eastAsia="zh-TW"/>
        </w:rPr>
        <w:t>strictement</w:t>
      </w:r>
      <w:r w:rsidR="00885E6B">
        <w:rPr>
          <w:rFonts w:ascii="Times" w:eastAsia="PMingLiU" w:hAnsi="Times"/>
          <w:lang w:eastAsia="zh-TW"/>
        </w:rPr>
        <w:t xml:space="preserve"> interdit</w:t>
      </w:r>
      <w:r w:rsidR="003C7EDD">
        <w:rPr>
          <w:rFonts w:ascii="Times" w:eastAsia="PMingLiU" w:hAnsi="Times"/>
          <w:lang w:eastAsia="zh-TW"/>
        </w:rPr>
        <w:t xml:space="preserve"> aux commis ou aux agents d’extorquer de l’argent. S’il ne s’agit </w:t>
      </w:r>
      <w:r w:rsidR="00B313D7">
        <w:rPr>
          <w:rFonts w:ascii="Times" w:eastAsia="PMingLiU" w:hAnsi="Times"/>
          <w:lang w:eastAsia="zh-TW"/>
        </w:rPr>
        <w:t xml:space="preserve">en fait </w:t>
      </w:r>
      <w:r w:rsidR="003C7EDD">
        <w:rPr>
          <w:rFonts w:ascii="Times" w:eastAsia="PMingLiU" w:hAnsi="Times"/>
          <w:lang w:eastAsia="zh-TW"/>
        </w:rPr>
        <w:t xml:space="preserve">que du </w:t>
      </w:r>
      <w:r w:rsidRPr="00B25F91">
        <w:rPr>
          <w:rFonts w:ascii="Times" w:eastAsia="PMingLiU" w:hAnsi="Times"/>
          <w:lang w:eastAsia="zh-TW"/>
        </w:rPr>
        <w:t xml:space="preserve">suicide </w:t>
      </w:r>
      <w:r w:rsidR="003C7EDD">
        <w:rPr>
          <w:rFonts w:ascii="Times" w:eastAsia="PMingLiU" w:hAnsi="Times"/>
          <w:lang w:eastAsia="zh-TW"/>
        </w:rPr>
        <w:t xml:space="preserve">de quelqu’un qui a fait peu de cas de sa vie, </w:t>
      </w:r>
      <w:r w:rsidRPr="00B25F91">
        <w:rPr>
          <w:rFonts w:ascii="Times" w:eastAsia="PMingLiU" w:hAnsi="Times"/>
          <w:lang w:eastAsia="zh-TW"/>
        </w:rPr>
        <w:t xml:space="preserve">ou </w:t>
      </w:r>
      <w:r w:rsidR="00B313D7">
        <w:rPr>
          <w:rFonts w:ascii="Times" w:eastAsia="PMingLiU" w:hAnsi="Times"/>
          <w:lang w:eastAsia="zh-TW"/>
        </w:rPr>
        <w:t>d’une rixe n’ayant pas entraîné de blessures fatales</w:t>
      </w:r>
      <w:r w:rsidRPr="00B25F91">
        <w:rPr>
          <w:rFonts w:ascii="Times" w:eastAsia="PMingLiU" w:hAnsi="Times"/>
          <w:color w:val="000000"/>
          <w:lang w:eastAsia="zh-TW"/>
        </w:rPr>
        <w:t xml:space="preserve">, </w:t>
      </w:r>
      <w:r w:rsidR="00B313D7">
        <w:rPr>
          <w:rFonts w:ascii="Times" w:eastAsia="PMingLiU" w:hAnsi="Times"/>
          <w:color w:val="000000"/>
          <w:lang w:eastAsia="zh-TW"/>
        </w:rPr>
        <w:t>le cas est conclu immédiatement après que l’enquête a montré la nature des blessure</w:t>
      </w:r>
      <w:r w:rsidRPr="00B25F91">
        <w:rPr>
          <w:rFonts w:ascii="Times" w:eastAsia="PMingLiU" w:hAnsi="Times"/>
          <w:color w:val="000000"/>
          <w:lang w:eastAsia="zh-TW"/>
        </w:rPr>
        <w:t>s</w:t>
      </w:r>
      <w:r w:rsidR="00B313D7">
        <w:rPr>
          <w:rFonts w:ascii="Times" w:eastAsia="PMingLiU" w:hAnsi="Times"/>
          <w:color w:val="000000"/>
          <w:lang w:eastAsia="zh-TW"/>
        </w:rPr>
        <w:t xml:space="preserve">. L’accusé, le plaignant, les voisins, les témoins sont tous remis en liberté. </w:t>
      </w:r>
      <w:r w:rsidRPr="00B25F91">
        <w:rPr>
          <w:rFonts w:ascii="Times" w:eastAsia="PMingLiU" w:hAnsi="Times"/>
          <w:color w:val="000000"/>
          <w:lang w:eastAsia="zh-TW"/>
        </w:rPr>
        <w:t xml:space="preserve"> Si le </w:t>
      </w:r>
      <w:r w:rsidR="00591404">
        <w:rPr>
          <w:rFonts w:ascii="Times" w:eastAsia="PMingLiU" w:hAnsi="Times"/>
          <w:color w:val="000000"/>
          <w:lang w:eastAsia="zh-TW"/>
        </w:rPr>
        <w:t>magistrat</w:t>
      </w:r>
      <w:r w:rsidRPr="00B25F91">
        <w:rPr>
          <w:rFonts w:ascii="Times" w:eastAsia="PMingLiU" w:hAnsi="Times"/>
          <w:color w:val="000000"/>
          <w:lang w:eastAsia="zh-TW"/>
        </w:rPr>
        <w:t xml:space="preserve"> titulaire du sceau, </w:t>
      </w:r>
      <w:r w:rsidR="00D966CB">
        <w:rPr>
          <w:rFonts w:ascii="Times" w:eastAsia="PMingLiU" w:hAnsi="Times"/>
          <w:color w:val="000000"/>
          <w:lang w:eastAsia="zh-TW"/>
        </w:rPr>
        <w:t xml:space="preserve">au lieu de pourvoir à ses besoins en </w:t>
      </w:r>
      <w:r w:rsidR="00591404">
        <w:rPr>
          <w:rFonts w:ascii="Times" w:eastAsia="PMingLiU" w:hAnsi="Times"/>
          <w:color w:val="000000"/>
          <w:lang w:eastAsia="zh-TW"/>
        </w:rPr>
        <w:t xml:space="preserve">hommes, </w:t>
      </w:r>
      <w:r w:rsidRPr="00B25F91">
        <w:rPr>
          <w:rFonts w:ascii="Times" w:eastAsia="PMingLiU" w:hAnsi="Times"/>
          <w:color w:val="000000"/>
          <w:lang w:eastAsia="zh-TW"/>
        </w:rPr>
        <w:t>chevaux</w:t>
      </w:r>
      <w:r w:rsidR="00D966CB">
        <w:rPr>
          <w:rFonts w:ascii="Times" w:eastAsia="PMingLiU" w:hAnsi="Times"/>
          <w:color w:val="000000"/>
          <w:lang w:eastAsia="zh-TW"/>
        </w:rPr>
        <w:t xml:space="preserve"> et </w:t>
      </w:r>
      <w:r w:rsidR="00A269DC">
        <w:rPr>
          <w:rFonts w:ascii="Times" w:eastAsia="PMingLiU" w:hAnsi="Times"/>
          <w:color w:val="000000"/>
          <w:lang w:eastAsia="zh-TW"/>
        </w:rPr>
        <w:t>frais de bouche, les prend sur place</w:t>
      </w:r>
      <w:r w:rsidRPr="00B25F91">
        <w:rPr>
          <w:rFonts w:ascii="Times" w:eastAsia="PMingLiU" w:hAnsi="Times"/>
          <w:color w:val="000000"/>
          <w:lang w:eastAsia="zh-TW"/>
        </w:rPr>
        <w:t xml:space="preserve">, </w:t>
      </w:r>
      <w:r w:rsidR="00A269DC">
        <w:rPr>
          <w:rFonts w:ascii="Times" w:eastAsia="PMingLiU" w:hAnsi="Times"/>
          <w:color w:val="000000"/>
          <w:lang w:eastAsia="zh-TW"/>
        </w:rPr>
        <w:t xml:space="preserve">il </w:t>
      </w:r>
      <w:r w:rsidR="007973AB">
        <w:rPr>
          <w:rFonts w:ascii="Times" w:eastAsia="PMingLiU" w:hAnsi="Times"/>
          <w:color w:val="000000"/>
          <w:lang w:eastAsia="zh-TW"/>
        </w:rPr>
        <w:t>est délibéré sur la sanction à lui infliger au titre de</w:t>
      </w:r>
      <w:r w:rsidRPr="00B25F91">
        <w:rPr>
          <w:rFonts w:ascii="Times" w:eastAsia="PMingLiU" w:hAnsi="Times"/>
          <w:color w:val="000000"/>
          <w:lang w:eastAsia="zh-TW"/>
        </w:rPr>
        <w:t xml:space="preserve"> </w:t>
      </w:r>
      <w:r w:rsidR="006416C5">
        <w:rPr>
          <w:rFonts w:ascii="Times" w:eastAsia="PMingLiU" w:hAnsi="Times"/>
          <w:color w:val="000000"/>
          <w:lang w:eastAsia="zh-TW"/>
        </w:rPr>
        <w:t>l’article « </w:t>
      </w:r>
      <w:r w:rsidR="00995088">
        <w:rPr>
          <w:rFonts w:ascii="Times" w:eastAsia="PMingLiU" w:hAnsi="Times"/>
          <w:color w:val="000000"/>
          <w:lang w:eastAsia="zh-TW"/>
        </w:rPr>
        <w:t>Lever une surtaxe</w:t>
      </w:r>
      <w:r w:rsidR="00A269DC">
        <w:rPr>
          <w:rFonts w:ascii="Times" w:eastAsia="PMingLiU" w:hAnsi="Times"/>
          <w:color w:val="000000"/>
          <w:lang w:eastAsia="zh-TW"/>
        </w:rPr>
        <w:t xml:space="preserve"> nom du service public</w:t>
      </w:r>
      <w:r w:rsidR="006416C5">
        <w:rPr>
          <w:rFonts w:ascii="Times" w:eastAsia="PMingLiU" w:hAnsi="Times"/>
          <w:color w:val="000000"/>
          <w:lang w:eastAsia="zh-TW"/>
        </w:rPr>
        <w:t>»</w:t>
      </w:r>
      <w:r w:rsidRPr="00B25F91">
        <w:rPr>
          <w:rFonts w:ascii="Times" w:eastAsia="PMingLiU" w:hAnsi="Times"/>
          <w:color w:val="000000"/>
          <w:lang w:eastAsia="zh-TW"/>
        </w:rPr>
        <w:t xml:space="preserve"> </w:t>
      </w:r>
      <w:r w:rsidRPr="00B25F91">
        <w:rPr>
          <w:rFonts w:ascii="Times" w:eastAsia="PMingLiU" w:hAnsi="Times"/>
          <w:color w:val="000000"/>
          <w:lang w:eastAsia="zh-TW"/>
        </w:rPr>
        <w:t>因公科斂</w:t>
      </w:r>
      <w:r w:rsidR="00A269DC">
        <w:rPr>
          <w:rFonts w:ascii="Times" w:eastAsia="PMingLiU" w:hAnsi="Times"/>
          <w:color w:val="000000"/>
          <w:lang w:eastAsia="zh-TW"/>
        </w:rPr>
        <w:t xml:space="preserve"> (art. 352)</w:t>
      </w:r>
      <w:r w:rsidRPr="00B25F91">
        <w:rPr>
          <w:rFonts w:ascii="Times" w:eastAsia="PMingLiU" w:hAnsi="Times"/>
          <w:color w:val="000000"/>
          <w:lang w:eastAsia="zh-TW"/>
        </w:rPr>
        <w:t xml:space="preserve">. </w:t>
      </w:r>
      <w:r w:rsidR="007973AB">
        <w:rPr>
          <w:rFonts w:ascii="Times" w:eastAsia="PMingLiU" w:hAnsi="Times"/>
          <w:color w:val="000000"/>
          <w:lang w:eastAsia="zh-TW"/>
        </w:rPr>
        <w:t>Les</w:t>
      </w:r>
      <w:r w:rsidRPr="00B25F91">
        <w:rPr>
          <w:rFonts w:ascii="Times" w:eastAsia="PMingLiU" w:hAnsi="Times"/>
          <w:color w:val="000000"/>
          <w:lang w:eastAsia="zh-TW"/>
        </w:rPr>
        <w:t xml:space="preserve"> commis </w:t>
      </w:r>
      <w:r w:rsidR="007973AB">
        <w:rPr>
          <w:rFonts w:ascii="Times" w:eastAsia="PMingLiU" w:hAnsi="Times"/>
          <w:color w:val="000000"/>
          <w:lang w:eastAsia="zh-TW"/>
        </w:rPr>
        <w:t>et les agents</w:t>
      </w:r>
      <w:r w:rsidRPr="00B25F91">
        <w:rPr>
          <w:rFonts w:ascii="Times" w:eastAsia="PMingLiU" w:hAnsi="Times"/>
          <w:color w:val="000000"/>
          <w:lang w:eastAsia="zh-TW"/>
        </w:rPr>
        <w:t xml:space="preserve"> </w:t>
      </w:r>
      <w:r w:rsidR="00A37FC6">
        <w:rPr>
          <w:rFonts w:ascii="Times" w:eastAsia="PMingLiU" w:hAnsi="Times"/>
          <w:color w:val="000000"/>
          <w:lang w:eastAsia="zh-TW"/>
        </w:rPr>
        <w:t>qui sollicitent de l’argent</w:t>
      </w:r>
      <w:r w:rsidR="007973AB">
        <w:rPr>
          <w:rFonts w:ascii="Times" w:eastAsia="PMingLiU" w:hAnsi="Times"/>
          <w:color w:val="000000"/>
          <w:lang w:eastAsia="zh-TW"/>
        </w:rPr>
        <w:t xml:space="preserve"> </w:t>
      </w:r>
      <w:r w:rsidRPr="00B25F91">
        <w:rPr>
          <w:rFonts w:ascii="Times" w:eastAsia="PMingLiU" w:hAnsi="Times"/>
          <w:color w:val="000000"/>
          <w:lang w:eastAsia="zh-TW"/>
        </w:rPr>
        <w:t xml:space="preserve"> </w:t>
      </w:r>
      <w:r w:rsidR="00A37FC6">
        <w:rPr>
          <w:rFonts w:ascii="Times" w:eastAsia="PMingLiU" w:hAnsi="Times"/>
          <w:color w:val="000000"/>
          <w:lang w:eastAsia="zh-TW"/>
        </w:rPr>
        <w:t>sont condamnés à la peine établie par le calcul du bien mal acquis  par chacun d’entre eux</w:t>
      </w:r>
      <w:r w:rsidRPr="00B25F91">
        <w:rPr>
          <w:rFonts w:ascii="Times" w:eastAsia="PMingLiU" w:hAnsi="Times"/>
          <w:color w:val="000000"/>
          <w:lang w:eastAsia="zh-TW"/>
        </w:rPr>
        <w:t xml:space="preserve">. </w:t>
      </w:r>
      <w:r w:rsidR="00A37FC6">
        <w:rPr>
          <w:rFonts w:ascii="Times" w:eastAsia="PMingLiU" w:hAnsi="Times"/>
          <w:color w:val="000000"/>
          <w:lang w:eastAsia="zh-TW"/>
        </w:rPr>
        <w:t>si certains font traîner une affaire dans le but de compromettre des gens,  ils sont sanctionnées au regard de l’article « ne pas conclure une affaire facile à conclure »</w:t>
      </w:r>
      <w:r w:rsidRPr="00B25F91">
        <w:rPr>
          <w:rFonts w:ascii="Times" w:eastAsia="PMingLiU" w:hAnsi="Times"/>
          <w:color w:val="000000"/>
          <w:lang w:eastAsia="zh-TW"/>
        </w:rPr>
        <w:t xml:space="preserve"> </w:t>
      </w:r>
      <w:r w:rsidRPr="00B25F91">
        <w:rPr>
          <w:rFonts w:ascii="Times" w:eastAsia="PMingLiU" w:hAnsi="Times"/>
          <w:color w:val="000000"/>
          <w:lang w:eastAsia="zh-TW"/>
        </w:rPr>
        <w:t>易結不結</w:t>
      </w:r>
      <w:r w:rsidR="00A37FC6">
        <w:rPr>
          <w:rFonts w:ascii="Times" w:eastAsia="PMingLiU" w:hAnsi="Times"/>
          <w:color w:val="000000"/>
          <w:lang w:eastAsia="zh-TW"/>
        </w:rPr>
        <w:t xml:space="preserve"> (394-02 ?)</w:t>
      </w:r>
      <w:r w:rsidRPr="00B25F91">
        <w:rPr>
          <w:rFonts w:ascii="Times" w:eastAsia="PMingLiU" w:hAnsi="Times"/>
          <w:color w:val="000000"/>
          <w:lang w:eastAsia="zh-TW"/>
        </w:rPr>
        <w:t xml:space="preserve">. </w:t>
      </w:r>
      <w:r w:rsidR="00A37FC6">
        <w:rPr>
          <w:rFonts w:ascii="Times" w:eastAsia="PMingLiU" w:hAnsi="Times"/>
          <w:color w:val="000000"/>
          <w:lang w:eastAsia="zh-TW"/>
        </w:rPr>
        <w:t>S’il s’agit d’un suicide, sans autre cause de dé</w:t>
      </w:r>
      <w:r w:rsidR="00C65A96">
        <w:rPr>
          <w:rFonts w:ascii="Times" w:eastAsia="PMingLiU" w:hAnsi="Times"/>
          <w:color w:val="000000"/>
          <w:lang w:eastAsia="zh-TW"/>
        </w:rPr>
        <w:t>cès, et que les parents du mort</w:t>
      </w:r>
      <w:r w:rsidRPr="00B25F91">
        <w:rPr>
          <w:rFonts w:ascii="Times" w:eastAsia="PMingLiU" w:hAnsi="Times"/>
          <w:color w:val="000000"/>
          <w:lang w:eastAsia="zh-TW"/>
        </w:rPr>
        <w:t xml:space="preserve"> </w:t>
      </w:r>
      <w:r w:rsidR="00C65A96">
        <w:rPr>
          <w:rFonts w:ascii="Times" w:eastAsia="PMingLiU" w:hAnsi="Times"/>
          <w:color w:val="000000"/>
          <w:lang w:eastAsia="zh-TW"/>
        </w:rPr>
        <w:t>forgent les termes d’une fausse</w:t>
      </w:r>
      <w:r w:rsidRPr="00B25F91">
        <w:rPr>
          <w:rFonts w:ascii="Times" w:eastAsia="PMingLiU" w:hAnsi="Times"/>
          <w:color w:val="000000"/>
          <w:lang w:eastAsia="zh-TW"/>
        </w:rPr>
        <w:t xml:space="preserve"> </w:t>
      </w:r>
      <w:r w:rsidR="00C65A96">
        <w:rPr>
          <w:rFonts w:ascii="Times" w:eastAsia="PMingLiU" w:hAnsi="Times"/>
          <w:color w:val="000000"/>
          <w:lang w:eastAsia="zh-TW"/>
        </w:rPr>
        <w:t>accusation,</w:t>
      </w:r>
      <w:r w:rsidRPr="00B25F91">
        <w:rPr>
          <w:rFonts w:ascii="Times" w:eastAsia="PMingLiU" w:hAnsi="Times"/>
          <w:color w:val="000000"/>
          <w:lang w:eastAsia="zh-TW"/>
        </w:rPr>
        <w:t xml:space="preserve"> </w:t>
      </w:r>
      <w:r w:rsidR="00C65A96">
        <w:rPr>
          <w:rFonts w:ascii="Times" w:eastAsia="PMingLiU" w:hAnsi="Times"/>
          <w:color w:val="000000"/>
          <w:lang w:eastAsia="zh-TW"/>
        </w:rPr>
        <w:t xml:space="preserve">ceux-là </w:t>
      </w:r>
      <w:r w:rsidRPr="00B25F91">
        <w:rPr>
          <w:rFonts w:ascii="Times" w:eastAsia="PMingLiU" w:hAnsi="Times"/>
          <w:color w:val="000000"/>
          <w:lang w:eastAsia="zh-TW"/>
        </w:rPr>
        <w:t xml:space="preserve">sont condamnés selon </w:t>
      </w:r>
      <w:r w:rsidR="00C65A96">
        <w:rPr>
          <w:rFonts w:ascii="Times" w:eastAsia="PMingLiU" w:hAnsi="Times"/>
          <w:color w:val="000000"/>
          <w:lang w:eastAsia="zh-TW"/>
        </w:rPr>
        <w:t>l’artic</w:t>
      </w:r>
      <w:r w:rsidR="009F09E8">
        <w:rPr>
          <w:rFonts w:ascii="Times" w:eastAsia="PMingLiU" w:hAnsi="Times"/>
          <w:color w:val="000000"/>
          <w:lang w:eastAsia="zh-TW"/>
        </w:rPr>
        <w:t>le « A</w:t>
      </w:r>
      <w:r w:rsidR="00C65A96">
        <w:rPr>
          <w:rFonts w:ascii="Times" w:eastAsia="PMingLiU" w:hAnsi="Times"/>
          <w:color w:val="000000"/>
          <w:lang w:eastAsia="zh-TW"/>
        </w:rPr>
        <w:t>ccusations calomnieuses »</w:t>
      </w:r>
      <w:r w:rsidR="00C65A96">
        <w:rPr>
          <w:rFonts w:ascii="Times" w:eastAsia="PMingLiU" w:hAnsi="Times" w:hint="eastAsia"/>
          <w:color w:val="000000"/>
          <w:lang w:eastAsia="zh-TW"/>
        </w:rPr>
        <w:t xml:space="preserve"> </w:t>
      </w:r>
      <w:r w:rsidR="00C65A96">
        <w:rPr>
          <w:rFonts w:ascii="Times" w:eastAsia="PMingLiU" w:hAnsi="Times"/>
          <w:color w:val="000000"/>
          <w:lang w:eastAsia="zh-TW"/>
        </w:rPr>
        <w:t>(art. 336)</w:t>
      </w:r>
      <w:r w:rsidRPr="00B25F91">
        <w:rPr>
          <w:rFonts w:ascii="Times" w:eastAsia="PMingLiU" w:hAnsi="Times"/>
          <w:color w:val="000000"/>
          <w:lang w:eastAsia="zh-TW"/>
        </w:rPr>
        <w:t xml:space="preserve">. </w:t>
      </w:r>
      <w:r w:rsidR="00445113">
        <w:rPr>
          <w:rFonts w:ascii="Times" w:eastAsia="PMingLiU" w:hAnsi="Times"/>
          <w:color w:val="000000"/>
          <w:lang w:eastAsia="zh-TW"/>
        </w:rPr>
        <w:t>Si des coquins rusés et violents prennent prétexte d’un ho</w:t>
      </w:r>
      <w:r w:rsidR="00876233">
        <w:rPr>
          <w:rFonts w:ascii="Times" w:eastAsia="PMingLiU" w:hAnsi="Times"/>
          <w:color w:val="000000"/>
          <w:lang w:eastAsia="zh-TW"/>
        </w:rPr>
        <w:t xml:space="preserve">micide à venger pour </w:t>
      </w:r>
      <w:r w:rsidR="009F09E8">
        <w:rPr>
          <w:rFonts w:ascii="Times" w:eastAsia="PMingLiU" w:hAnsi="Times"/>
          <w:color w:val="000000"/>
          <w:lang w:eastAsia="zh-TW"/>
        </w:rPr>
        <w:t xml:space="preserve">ravir par la force les biens d’autrui, ils sont condamnés sur la base de l’article « Détrousser </w:t>
      </w:r>
      <w:r w:rsidRPr="00B25F91">
        <w:rPr>
          <w:rFonts w:ascii="Times" w:eastAsia="PMingLiU" w:hAnsi="Times"/>
          <w:color w:val="000000"/>
          <w:lang w:eastAsia="zh-TW"/>
        </w:rPr>
        <w:t xml:space="preserve"> plein jour</w:t>
      </w:r>
      <w:r w:rsidR="009F09E8">
        <w:rPr>
          <w:rFonts w:ascii="Times" w:eastAsia="PMingLiU" w:hAnsi="Times"/>
          <w:color w:val="000000"/>
          <w:lang w:eastAsia="zh-TW"/>
        </w:rPr>
        <w:t> » (art. 268)</w:t>
      </w:r>
      <w:r w:rsidR="009F09E8">
        <w:rPr>
          <w:rStyle w:val="Marquenotebasdepage"/>
          <w:rFonts w:ascii="Times" w:eastAsia="PMingLiU" w:hAnsi="Times"/>
          <w:color w:val="000000"/>
          <w:lang w:eastAsia="zh-TW"/>
        </w:rPr>
        <w:footnoteReference w:id="5"/>
      </w:r>
      <w:r w:rsidR="00BD0967">
        <w:rPr>
          <w:rFonts w:ascii="Times" w:eastAsia="PMingLiU" w:hAnsi="Times"/>
          <w:color w:val="000000"/>
          <w:lang w:eastAsia="zh-TW"/>
        </w:rPr>
        <w:t>, et les biens dérobés par la force sont restitués à leur propriétaire</w:t>
      </w:r>
      <w:r w:rsidRPr="00B25F91">
        <w:rPr>
          <w:rFonts w:ascii="Times" w:eastAsia="PMingLiU" w:hAnsi="Times"/>
          <w:color w:val="000000"/>
          <w:lang w:eastAsia="zh-TW"/>
        </w:rPr>
        <w:t xml:space="preserve">. </w:t>
      </w:r>
      <w:r w:rsidR="00BD0967">
        <w:rPr>
          <w:rFonts w:ascii="Times" w:eastAsia="PMingLiU" w:hAnsi="Times"/>
          <w:color w:val="000000"/>
          <w:lang w:eastAsia="zh-TW"/>
        </w:rPr>
        <w:t>Quant à ceux qui contraignent autrui à accepter un accord privé</w:t>
      </w:r>
      <w:r w:rsidR="004668FA">
        <w:rPr>
          <w:rFonts w:ascii="Times" w:eastAsia="PMingLiU" w:hAnsi="Times"/>
          <w:color w:val="000000"/>
          <w:lang w:eastAsia="zh-TW"/>
        </w:rPr>
        <w:t>, ils tombent sous le coup de l’article sur les « accords privés à propos d’une affaire d’intérêt public » (art. 381)</w:t>
      </w:r>
      <w:r w:rsidR="004668FA">
        <w:rPr>
          <w:rStyle w:val="Marquenotebasdepage"/>
          <w:rFonts w:ascii="Times" w:eastAsia="PMingLiU" w:hAnsi="Times"/>
          <w:color w:val="000000"/>
          <w:lang w:eastAsia="zh-TW"/>
        </w:rPr>
        <w:footnoteReference w:id="6"/>
      </w:r>
      <w:r w:rsidR="005A0FC6">
        <w:rPr>
          <w:rFonts w:ascii="Times" w:eastAsia="PMingLiU" w:hAnsi="Times"/>
          <w:color w:val="000000"/>
          <w:lang w:eastAsia="zh-TW"/>
        </w:rPr>
        <w:t>. Les instances supérieures qui reçoivent des rapports sur les cas de suicides ou d’homicides de la part des préfectures et des sous préfectures qu’ils sont ch</w:t>
      </w:r>
      <w:r w:rsidR="00CC4288">
        <w:rPr>
          <w:rFonts w:ascii="Times" w:eastAsia="PMingLiU" w:hAnsi="Times"/>
          <w:color w:val="000000"/>
          <w:lang w:eastAsia="zh-TW"/>
        </w:rPr>
        <w:t>argés de superviser, lorsque</w:t>
      </w:r>
      <w:r w:rsidR="005A0FC6">
        <w:rPr>
          <w:rFonts w:ascii="Times" w:eastAsia="PMingLiU" w:hAnsi="Times"/>
          <w:color w:val="000000"/>
          <w:lang w:eastAsia="zh-TW"/>
        </w:rPr>
        <w:t xml:space="preserve"> </w:t>
      </w:r>
      <w:proofErr w:type="spellStart"/>
      <w:r w:rsidR="008C1471">
        <w:rPr>
          <w:rFonts w:ascii="Times" w:eastAsia="PMingLiU" w:hAnsi="Times"/>
          <w:color w:val="000000"/>
          <w:lang w:eastAsia="zh-TW"/>
        </w:rPr>
        <w:t>les</w:t>
      </w:r>
      <w:proofErr w:type="spellEnd"/>
      <w:r w:rsidR="008C1471">
        <w:rPr>
          <w:rFonts w:ascii="Times" w:eastAsia="PMingLiU" w:hAnsi="Times"/>
          <w:color w:val="000000"/>
          <w:lang w:eastAsia="zh-TW"/>
        </w:rPr>
        <w:t xml:space="preserve"> faits sont </w:t>
      </w:r>
      <w:r w:rsidR="005A0FC6">
        <w:rPr>
          <w:rFonts w:ascii="Times" w:eastAsia="PMingLiU" w:hAnsi="Times"/>
          <w:color w:val="000000"/>
          <w:lang w:eastAsia="zh-TW"/>
        </w:rPr>
        <w:t xml:space="preserve">clairement </w:t>
      </w:r>
      <w:r w:rsidRPr="00B25F91">
        <w:rPr>
          <w:rFonts w:ascii="Times" w:eastAsia="PMingLiU" w:hAnsi="Times"/>
          <w:color w:val="000000"/>
          <w:lang w:eastAsia="zh-TW"/>
        </w:rPr>
        <w:t xml:space="preserve">établis sans équivoque, </w:t>
      </w:r>
      <w:r w:rsidR="005A0FC6">
        <w:rPr>
          <w:rFonts w:ascii="Times" w:eastAsia="PMingLiU" w:hAnsi="Times"/>
          <w:color w:val="000000"/>
          <w:lang w:eastAsia="zh-TW"/>
        </w:rPr>
        <w:t xml:space="preserve">ne doivent pas </w:t>
      </w:r>
      <w:r w:rsidR="00443573">
        <w:rPr>
          <w:rFonts w:ascii="Times" w:eastAsia="PMingLiU" w:hAnsi="Times"/>
          <w:color w:val="000000"/>
          <w:lang w:eastAsia="zh-TW"/>
        </w:rPr>
        <w:t xml:space="preserve">rejeter brutalement ces </w:t>
      </w:r>
      <w:r w:rsidR="00CC4288">
        <w:rPr>
          <w:rFonts w:ascii="Times" w:eastAsia="PMingLiU" w:hAnsi="Times"/>
          <w:color w:val="000000"/>
          <w:lang w:eastAsia="zh-TW"/>
        </w:rPr>
        <w:t>cas</w:t>
      </w:r>
      <w:r w:rsidR="00443573">
        <w:rPr>
          <w:rFonts w:ascii="Times" w:eastAsia="PMingLiU" w:hAnsi="Times"/>
          <w:color w:val="000000"/>
          <w:lang w:eastAsia="zh-TW"/>
        </w:rPr>
        <w:t xml:space="preserve">, mais au contraire autoriser </w:t>
      </w:r>
      <w:r w:rsidR="00CC4288">
        <w:rPr>
          <w:rFonts w:ascii="Times" w:eastAsia="PMingLiU" w:hAnsi="Times"/>
          <w:color w:val="000000"/>
          <w:lang w:eastAsia="zh-TW"/>
        </w:rPr>
        <w:t>le classement du dossier</w:t>
      </w:r>
      <w:r w:rsidR="00443573">
        <w:rPr>
          <w:rFonts w:ascii="Times" w:eastAsia="PMingLiU" w:hAnsi="Times"/>
          <w:color w:val="000000"/>
          <w:lang w:eastAsia="zh-TW"/>
        </w:rPr>
        <w:t xml:space="preserve">. Toutefois, </w:t>
      </w:r>
      <w:r w:rsidR="008C1471">
        <w:rPr>
          <w:rFonts w:ascii="Times" w:eastAsia="PMingLiU" w:hAnsi="Times"/>
          <w:color w:val="000000"/>
          <w:lang w:eastAsia="zh-TW"/>
        </w:rPr>
        <w:t>s’il demeure quelque incertitude sur les faits</w:t>
      </w:r>
      <w:r w:rsidR="005A0FC6">
        <w:rPr>
          <w:rFonts w:ascii="Times" w:eastAsia="PMingLiU" w:hAnsi="Times"/>
          <w:color w:val="000000"/>
          <w:lang w:eastAsia="zh-TW"/>
        </w:rPr>
        <w:t xml:space="preserve">, </w:t>
      </w:r>
      <w:r w:rsidR="00443573">
        <w:rPr>
          <w:rFonts w:ascii="Times" w:eastAsia="PMingLiU" w:hAnsi="Times"/>
          <w:color w:val="000000"/>
          <w:lang w:eastAsia="zh-TW"/>
        </w:rPr>
        <w:t xml:space="preserve">ils doivent alors rejeter le </w:t>
      </w:r>
      <w:r w:rsidR="00CC4288">
        <w:rPr>
          <w:rFonts w:ascii="Times" w:eastAsia="PMingLiU" w:hAnsi="Times"/>
          <w:color w:val="000000"/>
          <w:lang w:eastAsia="zh-TW"/>
        </w:rPr>
        <w:t xml:space="preserve">cas </w:t>
      </w:r>
      <w:r w:rsidR="00443573">
        <w:rPr>
          <w:rFonts w:ascii="Times" w:eastAsia="PMingLiU" w:hAnsi="Times"/>
          <w:color w:val="000000"/>
          <w:lang w:eastAsia="zh-TW"/>
        </w:rPr>
        <w:t xml:space="preserve"> en indiquan</w:t>
      </w:r>
      <w:r w:rsidR="00CC4288">
        <w:rPr>
          <w:rFonts w:ascii="Times" w:eastAsia="PMingLiU" w:hAnsi="Times"/>
          <w:color w:val="000000"/>
          <w:lang w:eastAsia="zh-TW"/>
        </w:rPr>
        <w:t xml:space="preserve">t </w:t>
      </w:r>
      <w:r w:rsidRPr="00B25F91">
        <w:rPr>
          <w:rFonts w:ascii="Times" w:eastAsia="PMingLiU" w:hAnsi="Times"/>
          <w:color w:val="000000"/>
          <w:lang w:eastAsia="zh-TW"/>
        </w:rPr>
        <w:t xml:space="preserve">avec </w:t>
      </w:r>
      <w:r w:rsidR="00443573">
        <w:rPr>
          <w:rFonts w:ascii="Times" w:eastAsia="PMingLiU" w:hAnsi="Times"/>
          <w:color w:val="000000"/>
          <w:lang w:eastAsia="zh-TW"/>
        </w:rPr>
        <w:t xml:space="preserve">impartialité les points à reprendre, dans l’attente </w:t>
      </w:r>
      <w:r w:rsidR="00CC4288">
        <w:rPr>
          <w:rFonts w:ascii="Times" w:eastAsia="PMingLiU" w:hAnsi="Times"/>
          <w:color w:val="000000"/>
          <w:lang w:eastAsia="zh-TW"/>
        </w:rPr>
        <w:t xml:space="preserve">que leur soit retourné le </w:t>
      </w:r>
      <w:r w:rsidR="00443573">
        <w:rPr>
          <w:rFonts w:ascii="Times" w:eastAsia="PMingLiU" w:hAnsi="Times"/>
          <w:color w:val="000000"/>
          <w:lang w:eastAsia="zh-TW"/>
        </w:rPr>
        <w:t>dossier soigneusement révisé sur lequel ils statueront</w:t>
      </w:r>
      <w:r w:rsidRPr="00B25F91">
        <w:rPr>
          <w:rFonts w:ascii="Times" w:eastAsia="PMingLiU" w:hAnsi="Times"/>
          <w:color w:val="000000"/>
          <w:lang w:eastAsia="zh-TW"/>
        </w:rPr>
        <w:t>.</w:t>
      </w:r>
    </w:p>
    <w:p w14:paraId="7DD649EE" w14:textId="77777777" w:rsidR="008D5527" w:rsidRPr="00B25F91" w:rsidRDefault="005B43D3" w:rsidP="00C47AB6">
      <w:pPr>
        <w:pStyle w:val="NormalWeb"/>
        <w:spacing w:before="2" w:after="2"/>
        <w:ind w:left="960"/>
        <w:jc w:val="both"/>
        <w:rPr>
          <w:rFonts w:ascii="Times" w:hAnsi="Times"/>
        </w:rPr>
      </w:pPr>
      <w:hyperlink r:id="rId11" w:anchor="lu412" w:history="1">
        <w:r w:rsidR="008D5527" w:rsidRPr="00B25F91">
          <w:rPr>
            <w:rStyle w:val="Lienhypertexte"/>
            <w:rFonts w:ascii="Times" w:hAnsi="Times"/>
          </w:rPr>
          <w:t>412</w:t>
        </w:r>
      </w:hyperlink>
      <w:r w:rsidR="008D5527" w:rsidRPr="00B25F91">
        <w:rPr>
          <w:rFonts w:ascii="Times" w:hAnsi="Times"/>
        </w:rPr>
        <w:t>-6</w:t>
      </w:r>
    </w:p>
    <w:p w14:paraId="20DF3210" w14:textId="77777777" w:rsidR="008D5527" w:rsidRDefault="008D5527" w:rsidP="00C47AB6">
      <w:pPr>
        <w:pStyle w:val="NormalWeb"/>
        <w:spacing w:before="2" w:after="2"/>
        <w:ind w:left="960"/>
        <w:jc w:val="both"/>
        <w:rPr>
          <w:rFonts w:ascii="Times" w:hAnsi="Times"/>
        </w:rPr>
      </w:pPr>
      <w:r w:rsidRPr="00B25F91">
        <w:rPr>
          <w:rFonts w:ascii="Times" w:hAnsi="Times"/>
        </w:rPr>
        <w:t>大縣額設仵作三名，中縣額設二名，小縣額設一名；仍於額設之外，再</w:t>
      </w:r>
      <w:r w:rsidRPr="00A15C12">
        <w:rPr>
          <w:rFonts w:ascii="Times" w:hAnsi="Times"/>
        </w:rPr>
        <w:t>募一</w:t>
      </w:r>
      <w:r w:rsidRPr="00B25F91">
        <w:rPr>
          <w:rFonts w:ascii="Times" w:hAnsi="Times"/>
        </w:rPr>
        <w:t>、二人，令其跟隨學習，預備頂補，每名給發</w:t>
      </w:r>
      <w:r w:rsidRPr="00B25F91">
        <w:rPr>
          <w:rFonts w:ascii="Times" w:hAnsi="Times"/>
          <w:color w:val="5555AA"/>
          <w:sz w:val="19"/>
          <w:szCs w:val="19"/>
        </w:rPr>
        <w:t>洗冤錄</w:t>
      </w:r>
      <w:r w:rsidRPr="00B25F91">
        <w:rPr>
          <w:rFonts w:ascii="Times" w:hAnsi="Times"/>
        </w:rPr>
        <w:t>一部，選委明白刑書一人，與仵作逐細講解。每人撥給皂隸工食一名，學習者兩人共撥給皂隸工食一</w:t>
      </w:r>
      <w:r w:rsidRPr="00B25F91">
        <w:rPr>
          <w:rFonts w:ascii="Times" w:hAnsi="Times"/>
        </w:rPr>
        <w:lastRenderedPageBreak/>
        <w:t>名。若有曖昧難明之事，果能檢驗得法，洗雪沉冤，該管上司，賞給銀十兩。其有檢驗故行出入，審有受賄情弊者，照例治罪，不許充役。</w:t>
      </w:r>
    </w:p>
    <w:p w14:paraId="083601C2" w14:textId="3CCCAA37" w:rsidR="00571D69" w:rsidRPr="00A15C12" w:rsidRDefault="00571D69" w:rsidP="00571D69">
      <w:pPr>
        <w:pStyle w:val="NormalWeb"/>
        <w:spacing w:before="2" w:after="2"/>
        <w:jc w:val="both"/>
        <w:rPr>
          <w:rFonts w:ascii="Times" w:hAnsi="Times"/>
        </w:rPr>
      </w:pPr>
      <w:r>
        <w:rPr>
          <w:rFonts w:ascii="Times" w:hAnsi="Times"/>
        </w:rPr>
        <w:t>Dans les grandes sous-préfecture</w:t>
      </w:r>
      <w:r w:rsidR="001D07CF">
        <w:rPr>
          <w:rFonts w:ascii="Times" w:hAnsi="Times"/>
        </w:rPr>
        <w:t>s</w:t>
      </w:r>
      <w:r>
        <w:rPr>
          <w:rFonts w:ascii="Times" w:hAnsi="Times"/>
        </w:rPr>
        <w:t xml:space="preserve">, il est établi un quota de trois exécuteurs d’autopsie, dans les sous-préfectures moyennes, il en est établi deux, et dans les petites sous-préfecture un seul. </w:t>
      </w:r>
      <w:r w:rsidR="00A15C12">
        <w:rPr>
          <w:rFonts w:ascii="Times" w:hAnsi="Times"/>
        </w:rPr>
        <w:t>Toutefois,</w:t>
      </w:r>
      <w:r>
        <w:rPr>
          <w:rFonts w:ascii="Times" w:hAnsi="Times"/>
        </w:rPr>
        <w:t xml:space="preserve"> </w:t>
      </w:r>
      <w:r w:rsidR="001D07CF">
        <w:rPr>
          <w:rFonts w:ascii="Times" w:hAnsi="Times"/>
        </w:rPr>
        <w:t xml:space="preserve">en </w:t>
      </w:r>
      <w:r>
        <w:rPr>
          <w:rFonts w:ascii="Times" w:hAnsi="Times"/>
        </w:rPr>
        <w:t xml:space="preserve">dehors de ces quotas, </w:t>
      </w:r>
      <w:r w:rsidR="00A15C12">
        <w:rPr>
          <w:rFonts w:ascii="Times" w:hAnsi="Times"/>
        </w:rPr>
        <w:t>on peut recruter une ou deux personnes pour qu’elles se forment en suivant les exécuteurs d’autopsie. On remet à chacun</w:t>
      </w:r>
      <w:r w:rsidR="001D07CF">
        <w:rPr>
          <w:rFonts w:ascii="Times" w:hAnsi="Times"/>
        </w:rPr>
        <w:t>e</w:t>
      </w:r>
      <w:r w:rsidR="00A15C12">
        <w:rPr>
          <w:rFonts w:ascii="Times" w:hAnsi="Times"/>
        </w:rPr>
        <w:t xml:space="preserve"> un exemplaire du </w:t>
      </w:r>
      <w:r w:rsidR="00A15C12">
        <w:rPr>
          <w:rFonts w:ascii="Times" w:hAnsi="Times"/>
          <w:i/>
        </w:rPr>
        <w:t>Traité pour laver les doutes</w:t>
      </w:r>
      <w:r w:rsidR="00A15C12">
        <w:rPr>
          <w:rFonts w:ascii="Times" w:hAnsi="Times"/>
        </w:rPr>
        <w:t xml:space="preserve">, et l’on choisit un expert qui connaît bien les traités de droit pénal pour qu’il les explique dans tous leurs détails aux </w:t>
      </w:r>
      <w:r w:rsidR="00A15C12" w:rsidRPr="001D07CF">
        <w:rPr>
          <w:rFonts w:ascii="Times" w:hAnsi="Times"/>
          <w:b/>
        </w:rPr>
        <w:t>exécuteurs d’aut</w:t>
      </w:r>
      <w:r w:rsidR="008910F4" w:rsidRPr="001D07CF">
        <w:rPr>
          <w:rFonts w:ascii="Times" w:hAnsi="Times"/>
          <w:b/>
        </w:rPr>
        <w:t>opsie</w:t>
      </w:r>
      <w:r w:rsidR="008910F4">
        <w:rPr>
          <w:rFonts w:ascii="Times" w:hAnsi="Times"/>
        </w:rPr>
        <w:t>. Chaque</w:t>
      </w:r>
      <w:r w:rsidR="008910F4" w:rsidRPr="001D07CF">
        <w:rPr>
          <w:rFonts w:ascii="Times" w:hAnsi="Times"/>
          <w:b/>
        </w:rPr>
        <w:t xml:space="preserve"> </w:t>
      </w:r>
      <w:proofErr w:type="spellStart"/>
      <w:r w:rsidR="008910F4" w:rsidRPr="001D07CF">
        <w:rPr>
          <w:rFonts w:ascii="Times" w:hAnsi="Times"/>
          <w:b/>
        </w:rPr>
        <w:t>autopsieur</w:t>
      </w:r>
      <w:proofErr w:type="spellEnd"/>
      <w:r w:rsidR="008910F4">
        <w:rPr>
          <w:rFonts w:ascii="Times" w:hAnsi="Times"/>
        </w:rPr>
        <w:t xml:space="preserve"> touche le revenu d’un agent de </w:t>
      </w:r>
      <w:proofErr w:type="spellStart"/>
      <w:r w:rsidR="008910F4">
        <w:rPr>
          <w:rFonts w:ascii="Times" w:hAnsi="Times"/>
        </w:rPr>
        <w:t>yamen</w:t>
      </w:r>
      <w:proofErr w:type="spellEnd"/>
      <w:r w:rsidR="008910F4">
        <w:rPr>
          <w:rFonts w:ascii="Times" w:hAnsi="Times"/>
        </w:rPr>
        <w:t>, et ceux qui sont en formation en touche</w:t>
      </w:r>
      <w:r w:rsidR="001D07CF">
        <w:rPr>
          <w:rFonts w:ascii="Times" w:hAnsi="Times"/>
        </w:rPr>
        <w:t>nt</w:t>
      </w:r>
      <w:r w:rsidR="008910F4">
        <w:rPr>
          <w:rFonts w:ascii="Times" w:hAnsi="Times"/>
        </w:rPr>
        <w:t xml:space="preserve"> la moitié. S’il survient quelque cas particulièrement difficile, qu’ils trouvent moyen par l’examen </w:t>
      </w:r>
      <w:proofErr w:type="spellStart"/>
      <w:r w:rsidR="008910F4">
        <w:rPr>
          <w:rFonts w:ascii="Times" w:hAnsi="Times"/>
        </w:rPr>
        <w:t>forensique</w:t>
      </w:r>
      <w:proofErr w:type="spellEnd"/>
      <w:r w:rsidR="008910F4">
        <w:rPr>
          <w:rFonts w:ascii="Times" w:hAnsi="Times"/>
        </w:rPr>
        <w:t xml:space="preserve"> d’éviter une erreur judiciaire en lavant un innocent de tout soupçon, les autorités supérieurs peuvent leur accorder une prime de dix taëls. S’ils font un examen </w:t>
      </w:r>
      <w:proofErr w:type="spellStart"/>
      <w:r w:rsidR="008910F4">
        <w:rPr>
          <w:rFonts w:ascii="Times" w:hAnsi="Times"/>
        </w:rPr>
        <w:t>forensique</w:t>
      </w:r>
      <w:proofErr w:type="spellEnd"/>
      <w:r w:rsidR="008910F4">
        <w:rPr>
          <w:rFonts w:ascii="Times" w:hAnsi="Times"/>
        </w:rPr>
        <w:t xml:space="preserve"> qui contribue à innocenter ou inculper quelqu’un à tort de façon délibérée, et si l’enquête démontre qu’il y a eu concussion, ils sont punis selon les règles, et ils ne peuvent être admis parmi les agents de </w:t>
      </w:r>
      <w:proofErr w:type="spellStart"/>
      <w:r w:rsidR="008910F4">
        <w:rPr>
          <w:rFonts w:ascii="Times" w:hAnsi="Times"/>
        </w:rPr>
        <w:t>yamen</w:t>
      </w:r>
      <w:proofErr w:type="spellEnd"/>
      <w:r w:rsidR="008910F4">
        <w:rPr>
          <w:rFonts w:ascii="Times" w:hAnsi="Times"/>
        </w:rPr>
        <w:t xml:space="preserve">.  </w:t>
      </w:r>
    </w:p>
    <w:p w14:paraId="2D905A5E" w14:textId="77777777" w:rsidR="008D5527" w:rsidRPr="00B25F91" w:rsidRDefault="005B43D3" w:rsidP="00C47AB6">
      <w:pPr>
        <w:pStyle w:val="NormalWeb"/>
        <w:spacing w:before="2" w:after="2"/>
        <w:ind w:left="960"/>
        <w:jc w:val="both"/>
        <w:rPr>
          <w:rFonts w:ascii="Times" w:hAnsi="Times"/>
        </w:rPr>
      </w:pPr>
      <w:hyperlink r:id="rId12" w:anchor="lu412" w:history="1">
        <w:r w:rsidR="008D5527" w:rsidRPr="00B25F91">
          <w:rPr>
            <w:rStyle w:val="Lienhypertexte"/>
            <w:rFonts w:ascii="Times" w:hAnsi="Times"/>
          </w:rPr>
          <w:t>412</w:t>
        </w:r>
      </w:hyperlink>
      <w:r w:rsidR="008D5527" w:rsidRPr="00B25F91">
        <w:rPr>
          <w:rFonts w:ascii="Times" w:hAnsi="Times"/>
        </w:rPr>
        <w:t>-7</w:t>
      </w:r>
    </w:p>
    <w:p w14:paraId="15E797BA" w14:textId="77777777" w:rsidR="008D5527" w:rsidRPr="00B25F91" w:rsidRDefault="008D5527" w:rsidP="00C47AB6">
      <w:pPr>
        <w:pStyle w:val="NormalWeb"/>
        <w:spacing w:before="2" w:after="2"/>
        <w:ind w:left="960"/>
        <w:jc w:val="both"/>
        <w:rPr>
          <w:rFonts w:ascii="Times" w:hAnsi="Times"/>
        </w:rPr>
      </w:pPr>
      <w:r w:rsidRPr="00B25F91">
        <w:rPr>
          <w:rFonts w:ascii="Times" w:hAnsi="Times"/>
        </w:rPr>
        <w:t>地方呈報人命到官，正印官公出，壤地相接不過五、六十里之鄰邑印官，未經公出，即移請代往相驗。或地處遙遠，不能朝發夕至，又經他往，方許派委同知、通判、州同、州判、縣丞等官，毋得濫派雜職。其同知等官相驗，填具結格通報，仍聽正印官承審，如有相驗不實，照例參處。</w:t>
      </w:r>
    </w:p>
    <w:p w14:paraId="70B46A4C" w14:textId="3FBD8690" w:rsidR="00B35E11" w:rsidRPr="00F02A53" w:rsidRDefault="00F02A53" w:rsidP="00C47AB6">
      <w:pPr>
        <w:jc w:val="both"/>
        <w:rPr>
          <w:rFonts w:ascii="Times" w:hAnsi="Times"/>
          <w:lang w:val="fr-FR"/>
        </w:rPr>
      </w:pPr>
      <w:r w:rsidRPr="00F02A53">
        <w:rPr>
          <w:rFonts w:ascii="Times" w:hAnsi="Times"/>
          <w:lang w:val="fr-FR"/>
        </w:rPr>
        <w:t xml:space="preserve">Pour tout rapport sur un homicide qui parvient à un </w:t>
      </w:r>
      <w:r>
        <w:rPr>
          <w:rFonts w:ascii="Times" w:hAnsi="Times"/>
          <w:lang w:val="fr-FR"/>
        </w:rPr>
        <w:t>magistrat</w:t>
      </w:r>
      <w:r w:rsidRPr="00F02A53">
        <w:rPr>
          <w:rFonts w:ascii="Times" w:hAnsi="Times"/>
          <w:lang w:val="fr-FR"/>
        </w:rPr>
        <w:t xml:space="preserve"> dans un lieu donné</w:t>
      </w:r>
      <w:r>
        <w:rPr>
          <w:rFonts w:ascii="Times" w:hAnsi="Times"/>
          <w:lang w:val="fr-FR"/>
        </w:rPr>
        <w:t xml:space="preserve">, si le magistrat titulaire du sceau est parti en mission officiel, si dans une aire de 50 ou 60 li l’une des sous-préfectures a un magistrat qui n’est pas parti en mission, on l’envoie alors chercher pour qu’il vienne effectuer l’examen </w:t>
      </w:r>
      <w:proofErr w:type="spellStart"/>
      <w:r>
        <w:rPr>
          <w:rFonts w:ascii="Times" w:hAnsi="Times"/>
          <w:lang w:val="fr-FR"/>
        </w:rPr>
        <w:t>forensique</w:t>
      </w:r>
      <w:proofErr w:type="spellEnd"/>
      <w:r>
        <w:rPr>
          <w:rFonts w:ascii="Times" w:hAnsi="Times"/>
          <w:lang w:val="fr-FR"/>
        </w:rPr>
        <w:t xml:space="preserve">. Si cette préfecture est trop éloignée pour qu’il puisse  faire le trajet en un seul jour, </w:t>
      </w:r>
      <w:r w:rsidR="00760614">
        <w:rPr>
          <w:rFonts w:ascii="Times" w:hAnsi="Times"/>
          <w:lang w:val="fr-FR"/>
        </w:rPr>
        <w:t xml:space="preserve">ou s’il est déjà parti pour une autre destination, on délègue alors la responsabilité de l’examen </w:t>
      </w:r>
      <w:proofErr w:type="spellStart"/>
      <w:r w:rsidR="00760614">
        <w:rPr>
          <w:rFonts w:ascii="Times" w:hAnsi="Times"/>
          <w:lang w:val="fr-FR"/>
        </w:rPr>
        <w:t>forensique</w:t>
      </w:r>
      <w:proofErr w:type="spellEnd"/>
      <w:r w:rsidR="00760614">
        <w:rPr>
          <w:rFonts w:ascii="Times" w:hAnsi="Times"/>
          <w:lang w:val="fr-FR"/>
        </w:rPr>
        <w:t xml:space="preserve"> </w:t>
      </w:r>
      <w:r w:rsidR="00672690">
        <w:rPr>
          <w:rFonts w:ascii="Times" w:hAnsi="Times"/>
          <w:lang w:val="fr-FR"/>
        </w:rPr>
        <w:t xml:space="preserve">au </w:t>
      </w:r>
      <w:r w:rsidR="00760614">
        <w:rPr>
          <w:rFonts w:ascii="Times" w:hAnsi="Times"/>
          <w:lang w:val="fr-FR"/>
        </w:rPr>
        <w:t xml:space="preserve">sous-préfet </w:t>
      </w:r>
      <w:r w:rsidR="00760614" w:rsidRPr="00B25F91">
        <w:rPr>
          <w:rFonts w:ascii="Times" w:hAnsi="Times"/>
        </w:rPr>
        <w:t>同知</w:t>
      </w:r>
      <w:r w:rsidR="00760614">
        <w:rPr>
          <w:rFonts w:ascii="Times" w:hAnsi="Times"/>
        </w:rPr>
        <w:t>,</w:t>
      </w:r>
      <w:r w:rsidR="00672690">
        <w:rPr>
          <w:rFonts w:ascii="Times" w:hAnsi="Times"/>
          <w:lang w:val="fr-FR"/>
        </w:rPr>
        <w:t xml:space="preserve"> au</w:t>
      </w:r>
      <w:r w:rsidR="00760614">
        <w:rPr>
          <w:rFonts w:ascii="Times" w:hAnsi="Times"/>
          <w:lang w:val="fr-FR"/>
        </w:rPr>
        <w:t xml:space="preserve"> sous-préfet adjoint chargé des questions judiciaires</w:t>
      </w:r>
      <w:r w:rsidR="00760614" w:rsidRPr="00B25F91">
        <w:rPr>
          <w:rFonts w:ascii="Times" w:hAnsi="Times"/>
        </w:rPr>
        <w:t>通判</w:t>
      </w:r>
      <w:r w:rsidR="00760614">
        <w:rPr>
          <w:rFonts w:ascii="Times" w:hAnsi="Times"/>
          <w:lang w:val="fr-FR"/>
        </w:rPr>
        <w:t xml:space="preserve">, </w:t>
      </w:r>
      <w:r w:rsidR="00672690">
        <w:rPr>
          <w:rFonts w:ascii="Times" w:hAnsi="Times"/>
          <w:lang w:val="fr-FR"/>
        </w:rPr>
        <w:t>au</w:t>
      </w:r>
      <w:r w:rsidR="00760614">
        <w:rPr>
          <w:rFonts w:ascii="Times" w:hAnsi="Times"/>
          <w:lang w:val="fr-FR"/>
        </w:rPr>
        <w:t xml:space="preserve"> magistrat de district</w:t>
      </w:r>
      <w:r w:rsidR="00760614" w:rsidRPr="00B25F91">
        <w:rPr>
          <w:rFonts w:ascii="Times" w:hAnsi="Times"/>
        </w:rPr>
        <w:t>州同</w:t>
      </w:r>
      <w:r w:rsidR="00760614">
        <w:rPr>
          <w:rFonts w:ascii="Times" w:hAnsi="Times"/>
          <w:lang w:val="fr-FR"/>
        </w:rPr>
        <w:t xml:space="preserve">, ou </w:t>
      </w:r>
      <w:r w:rsidR="00672690">
        <w:rPr>
          <w:rFonts w:ascii="Times" w:hAnsi="Times"/>
          <w:lang w:val="fr-FR"/>
        </w:rPr>
        <w:t xml:space="preserve">à </w:t>
      </w:r>
      <w:r w:rsidR="00760614">
        <w:rPr>
          <w:rFonts w:ascii="Times" w:hAnsi="Times"/>
          <w:lang w:val="fr-FR"/>
        </w:rPr>
        <w:t>son adjoint chargé des questions judiciaires</w:t>
      </w:r>
      <w:r w:rsidR="00760614" w:rsidRPr="00B25F91">
        <w:rPr>
          <w:rFonts w:ascii="Times" w:hAnsi="Times"/>
        </w:rPr>
        <w:t>州判</w:t>
      </w:r>
      <w:r w:rsidR="00760614">
        <w:rPr>
          <w:rFonts w:ascii="Times" w:hAnsi="Times"/>
          <w:lang w:val="fr-FR"/>
        </w:rPr>
        <w:t xml:space="preserve">, </w:t>
      </w:r>
      <w:r w:rsidR="00672690">
        <w:rPr>
          <w:rFonts w:ascii="Times" w:hAnsi="Times"/>
          <w:lang w:val="fr-FR"/>
        </w:rPr>
        <w:t>à</w:t>
      </w:r>
      <w:r w:rsidR="00760614">
        <w:rPr>
          <w:rFonts w:ascii="Times" w:hAnsi="Times"/>
          <w:lang w:val="fr-FR"/>
        </w:rPr>
        <w:t xml:space="preserve"> l’assistant du magistrat local </w:t>
      </w:r>
      <w:r w:rsidR="00760614" w:rsidRPr="00B25F91">
        <w:rPr>
          <w:rFonts w:ascii="Times" w:hAnsi="Times"/>
        </w:rPr>
        <w:t>縣丞</w:t>
      </w:r>
      <w:r w:rsidR="00672690">
        <w:rPr>
          <w:rFonts w:ascii="Times" w:hAnsi="Times"/>
          <w:lang w:val="fr-FR"/>
        </w:rPr>
        <w:t xml:space="preserve"> et autres fonctionnaires polyvalent aux multiples attributions. Ces fonctionnaires </w:t>
      </w:r>
      <w:r w:rsidR="001D07CF">
        <w:rPr>
          <w:rFonts w:ascii="Times" w:hAnsi="Times"/>
          <w:lang w:val="fr-FR"/>
        </w:rPr>
        <w:t>procèdent à</w:t>
      </w:r>
      <w:r w:rsidR="00672690">
        <w:rPr>
          <w:rFonts w:ascii="Times" w:hAnsi="Times"/>
          <w:lang w:val="fr-FR"/>
        </w:rPr>
        <w:t xml:space="preserve"> l’examen </w:t>
      </w:r>
      <w:proofErr w:type="spellStart"/>
      <w:r w:rsidR="00672690">
        <w:rPr>
          <w:rFonts w:ascii="Times" w:hAnsi="Times"/>
          <w:lang w:val="fr-FR"/>
        </w:rPr>
        <w:t>forensique</w:t>
      </w:r>
      <w:proofErr w:type="spellEnd"/>
      <w:r w:rsidR="00672690">
        <w:rPr>
          <w:rFonts w:ascii="Times" w:hAnsi="Times"/>
          <w:lang w:val="fr-FR"/>
        </w:rPr>
        <w:t xml:space="preserve">, remplissent les formulaires et rédigent le rapport, et laissent ensuite le magistrat titulaire du sceau continuer l’enquête. S’il y a dans l’examen </w:t>
      </w:r>
      <w:proofErr w:type="spellStart"/>
      <w:r w:rsidR="00672690">
        <w:rPr>
          <w:rFonts w:ascii="Times" w:hAnsi="Times"/>
          <w:lang w:val="fr-FR"/>
        </w:rPr>
        <w:t>forensique</w:t>
      </w:r>
      <w:proofErr w:type="spellEnd"/>
      <w:r w:rsidR="00672690">
        <w:rPr>
          <w:rFonts w:ascii="Times" w:hAnsi="Times"/>
          <w:lang w:val="fr-FR"/>
        </w:rPr>
        <w:t xml:space="preserve"> des inexactitudes, </w:t>
      </w:r>
      <w:r w:rsidR="007A1C2D">
        <w:rPr>
          <w:rFonts w:ascii="Times" w:hAnsi="Times"/>
          <w:lang w:val="fr-FR"/>
        </w:rPr>
        <w:t xml:space="preserve">ces fonctionnaires sont </w:t>
      </w:r>
      <w:r w:rsidR="00734862" w:rsidRPr="00734862">
        <w:rPr>
          <w:rFonts w:ascii="Times" w:hAnsi="Times"/>
          <w:b/>
          <w:lang w:val="fr-FR"/>
        </w:rPr>
        <w:t>mis en cause</w:t>
      </w:r>
      <w:r w:rsidR="00734862">
        <w:rPr>
          <w:rFonts w:ascii="Times" w:hAnsi="Times"/>
          <w:lang w:val="fr-FR"/>
        </w:rPr>
        <w:t xml:space="preserve"> et </w:t>
      </w:r>
      <w:r w:rsidR="007A1C2D">
        <w:rPr>
          <w:rFonts w:ascii="Times" w:hAnsi="Times"/>
          <w:lang w:val="fr-FR"/>
        </w:rPr>
        <w:t xml:space="preserve">sanctionnés selon les règles. </w:t>
      </w:r>
      <w:r w:rsidR="00672690">
        <w:rPr>
          <w:rFonts w:ascii="Times" w:hAnsi="Times"/>
          <w:lang w:val="fr-FR"/>
        </w:rPr>
        <w:t xml:space="preserve"> </w:t>
      </w:r>
      <w:bookmarkStart w:id="1" w:name="_GoBack"/>
      <w:bookmarkEnd w:id="1"/>
    </w:p>
    <w:sectPr w:rsidR="00B35E11" w:rsidRPr="00F02A53" w:rsidSect="00B35E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594CA" w14:textId="77777777" w:rsidR="00734862" w:rsidRDefault="00734862">
      <w:pPr>
        <w:spacing w:after="0"/>
      </w:pPr>
      <w:r>
        <w:separator/>
      </w:r>
    </w:p>
  </w:endnote>
  <w:endnote w:type="continuationSeparator" w:id="0">
    <w:p w14:paraId="0FA3223D" w14:textId="77777777" w:rsidR="00734862" w:rsidRDefault="007348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charset w:val="51"/>
    <w:family w:val="auto"/>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儷宋 Pro">
    <w:charset w:val="51"/>
    <w:family w:val="auto"/>
    <w:pitch w:val="variable"/>
    <w:sig w:usb0="80000001" w:usb1="28091800" w:usb2="00000016" w:usb3="00000000" w:csb0="00100000" w:csb1="00000000"/>
  </w:font>
  <w:font w:name="細明體">
    <w:charset w:val="51"/>
    <w:family w:val="auto"/>
    <w:pitch w:val="variable"/>
    <w:sig w:usb0="A00002FF" w:usb1="28CFFCFA" w:usb2="00000016" w:usb3="00000000" w:csb0="00100001" w:csb1="00000000"/>
  </w:font>
  <w:font w:name="Microsoft Tai Le">
    <w:panose1 w:val="020B0502040204020203"/>
    <w:charset w:val="00"/>
    <w:family w:val="auto"/>
    <w:pitch w:val="variable"/>
    <w:sig w:usb0="00000003" w:usb1="00000000" w:usb2="4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EDA7F" w14:textId="77777777" w:rsidR="00734862" w:rsidRDefault="00734862">
      <w:pPr>
        <w:spacing w:after="0"/>
      </w:pPr>
      <w:r>
        <w:separator/>
      </w:r>
    </w:p>
  </w:footnote>
  <w:footnote w:type="continuationSeparator" w:id="0">
    <w:p w14:paraId="1EA917B3" w14:textId="77777777" w:rsidR="00734862" w:rsidRDefault="00734862">
      <w:pPr>
        <w:spacing w:after="0"/>
      </w:pPr>
      <w:r>
        <w:continuationSeparator/>
      </w:r>
    </w:p>
  </w:footnote>
  <w:footnote w:id="1">
    <w:p w14:paraId="7ABF433B" w14:textId="77777777" w:rsidR="00734862" w:rsidRDefault="00734862" w:rsidP="00B66C85">
      <w:pPr>
        <w:pStyle w:val="Notedebasdepage"/>
      </w:pPr>
      <w:r>
        <w:rPr>
          <w:rStyle w:val="Marquenotebasdepage"/>
        </w:rPr>
        <w:footnoteRef/>
      </w:r>
      <w:r>
        <w:t xml:space="preserve"> Ou les méthodes.</w:t>
      </w:r>
    </w:p>
  </w:footnote>
  <w:footnote w:id="2">
    <w:p w14:paraId="16832C04" w14:textId="4C4BE753" w:rsidR="00734862" w:rsidRDefault="00734862" w:rsidP="00B66C85">
      <w:pPr>
        <w:pStyle w:val="Notedebasdepage"/>
        <w:jc w:val="both"/>
      </w:pPr>
      <w:r>
        <w:rPr>
          <w:rStyle w:val="Marquenotebasdepage"/>
        </w:rPr>
        <w:footnoteRef/>
      </w:r>
      <w:r>
        <w:t xml:space="preserve"> Cette loi secondaire présente quatre conditions qui ouvrent le droit à la dispense d’autopsie, à savoir le suicide, la noyade, l’homicide survenu lors d’un pillage et la mort de maladie d’un prisonnier. Compte tenu de la cohérence qu’il doit y avoir entre ces quatre cas, je suis encline à comprendre le terme ‘</w:t>
      </w:r>
      <w:proofErr w:type="spellStart"/>
      <w:r>
        <w:rPr>
          <w:i/>
          <w:iCs/>
        </w:rPr>
        <w:t>fujian</w:t>
      </w:r>
      <w:proofErr w:type="spellEnd"/>
      <w:r>
        <w:t xml:space="preserve">’, employé dans le passage sur la quatrième circonstance exceptionnelle, non pas comme autopsie vérificatrice, le sens tel que la loi secondaire suivante définit, mais comme faisant référence tout simplement à l'autopsie. Autopsie vérificatrice, quant à elle, tout au moins sous les Qing, consiste en un </w:t>
      </w:r>
      <w:proofErr w:type="spellStart"/>
      <w:r>
        <w:t>ré-examen</w:t>
      </w:r>
      <w:proofErr w:type="spellEnd"/>
      <w:r>
        <w:t xml:space="preserve"> auquel on n'a recours qu'en conséquence d'une remise en cause de l'autopsie précédemment réalisée. Ce recours fait l'objet d'une demande, principalement dressée par les parties plaignante et défendant, et est soumis à l'accord des instances supérieures, ce qui montre que le '</w:t>
      </w:r>
      <w:proofErr w:type="spellStart"/>
      <w:r>
        <w:rPr>
          <w:i/>
          <w:iCs/>
        </w:rPr>
        <w:t>fujian</w:t>
      </w:r>
      <w:proofErr w:type="spellEnd"/>
      <w:r>
        <w:t xml:space="preserve">', appréhendé de la sorte, ne constituait pas une démarche systématique. Partant, du fait que ce que la loi secondaire que nous étudions ici prévoit comme dispensable sous certaines circonstances est visiblement un dispositif </w:t>
      </w:r>
      <w:r>
        <w:rPr>
          <w:i/>
          <w:iCs/>
        </w:rPr>
        <w:t>a priori</w:t>
      </w:r>
      <w:r>
        <w:t xml:space="preserve"> obligatoire, il ne serait pas pertinent d’assimiler le sens du ‘</w:t>
      </w:r>
      <w:proofErr w:type="spellStart"/>
      <w:r>
        <w:rPr>
          <w:i/>
          <w:iCs/>
        </w:rPr>
        <w:t>fujian</w:t>
      </w:r>
      <w:proofErr w:type="spellEnd"/>
      <w:r>
        <w:t xml:space="preserve">’ dans ce contexte à l’autopsie vérificatrice.  JB- JE PENSE QUE LA DISPENSE PORTE BIEN SUR LE « CONTRE-EXAMEN », OU « RÉEXAMEN » APRÈS CONSTATATION QUE LE PRISONNIER EST BIEN MORT DE MALADIE ; MÊME CHOSE PLUS HAUT : C’EST UNE FOIS QUE LES AUTORITÉS ONT CONSTATÉ LES CIRCONSTANCES DE LA MORT DE LA VICTIME DES BANDITS QU’ON REND SON CORPS AUX PROCHEX, LES DISPENSANT D’UN EXAMEN PLUS FORMEL, JB) </w:t>
      </w:r>
    </w:p>
    <w:p w14:paraId="413C596A" w14:textId="77777777" w:rsidR="00734862" w:rsidRDefault="00734862" w:rsidP="00B66C85">
      <w:pPr>
        <w:pStyle w:val="Notedebasdepage"/>
        <w:jc w:val="both"/>
        <w:rPr>
          <w:rFonts w:eastAsia="PMingLiU"/>
          <w:lang w:eastAsia="zh-TW"/>
        </w:rPr>
      </w:pPr>
      <w:r>
        <w:t xml:space="preserve">Le problème suscité par la même question d’homonymie existe également dans le cas du </w:t>
      </w:r>
      <w:proofErr w:type="spellStart"/>
      <w:r>
        <w:rPr>
          <w:i/>
          <w:iCs/>
        </w:rPr>
        <w:t>fuyan</w:t>
      </w:r>
      <w:proofErr w:type="spellEnd"/>
      <w:r>
        <w:t xml:space="preserve"> </w:t>
      </w:r>
      <w:r>
        <w:rPr>
          <w:rFonts w:eastAsia="PMingLiU" w:hint="eastAsia"/>
          <w:lang w:eastAsia="zh-TW"/>
        </w:rPr>
        <w:t>覆驗</w:t>
      </w:r>
      <w:r>
        <w:rPr>
          <w:rFonts w:eastAsia="PMingLiU"/>
          <w:lang w:eastAsia="zh-TW"/>
        </w:rPr>
        <w:t>, voir la loi secondaire no. 11.</w:t>
      </w:r>
    </w:p>
  </w:footnote>
  <w:footnote w:id="3">
    <w:p w14:paraId="60CA6E08" w14:textId="6F11C5FD" w:rsidR="00734862" w:rsidRPr="006C134E" w:rsidRDefault="00734862">
      <w:pPr>
        <w:pStyle w:val="Notedebasdepage"/>
        <w:rPr>
          <w:lang w:eastAsia="zh-TW"/>
        </w:rPr>
      </w:pPr>
      <w:r>
        <w:rPr>
          <w:rStyle w:val="Marquenotebasdepage"/>
        </w:rPr>
        <w:footnoteRef/>
      </w:r>
      <w:r w:rsidRPr="00B25F91">
        <w:rPr>
          <w:rFonts w:ascii="Times" w:hAnsi="Times"/>
        </w:rPr>
        <w:t>理事同知</w:t>
      </w:r>
      <w:r>
        <w:rPr>
          <w:rFonts w:ascii="Times" w:hAnsi="Times"/>
        </w:rPr>
        <w:t xml:space="preserve"> : Magistrat de rang sous-préfectoral qui commande un </w:t>
      </w:r>
      <w:proofErr w:type="spellStart"/>
      <w:r>
        <w:rPr>
          <w:rFonts w:ascii="Times" w:hAnsi="Times"/>
        </w:rPr>
        <w:t>ting</w:t>
      </w:r>
      <w:proofErr w:type="spellEnd"/>
      <w:r>
        <w:rPr>
          <w:rFonts w:ascii="Times" w:hAnsi="Times"/>
        </w:rPr>
        <w:t xml:space="preserve"> </w:t>
      </w:r>
      <w:r>
        <w:rPr>
          <w:rFonts w:ascii="Times" w:hAnsi="Times" w:hint="eastAsia"/>
          <w:lang w:eastAsia="zh-TW"/>
        </w:rPr>
        <w:t>亭</w:t>
      </w:r>
      <w:r>
        <w:rPr>
          <w:rFonts w:ascii="Times" w:hAnsi="Times"/>
          <w:lang w:eastAsia="zh-TW"/>
        </w:rPr>
        <w:t xml:space="preserve"> (</w:t>
      </w:r>
      <w:proofErr w:type="spellStart"/>
      <w:r>
        <w:rPr>
          <w:rFonts w:ascii="Times" w:hAnsi="Times"/>
          <w:lang w:eastAsia="zh-TW"/>
        </w:rPr>
        <w:t>Hucker</w:t>
      </w:r>
      <w:proofErr w:type="spellEnd"/>
      <w:r>
        <w:rPr>
          <w:rFonts w:ascii="Times" w:hAnsi="Times"/>
          <w:lang w:eastAsia="zh-TW"/>
        </w:rPr>
        <w:t xml:space="preserve"> 7471), et qui était plus particulièrement en charge des cas « mixtes », mettant aux prises des « gens des Bannières » et la population civile, qui étaient régis par des règlements et des lois sensiblement différents. Problème de traduction : en </w:t>
      </w:r>
      <w:proofErr w:type="spellStart"/>
      <w:r>
        <w:rPr>
          <w:rFonts w:ascii="Times" w:hAnsi="Times"/>
          <w:lang w:eastAsia="zh-TW"/>
        </w:rPr>
        <w:t>frnaçais</w:t>
      </w:r>
      <w:proofErr w:type="spellEnd"/>
      <w:r>
        <w:rPr>
          <w:rFonts w:ascii="Times" w:hAnsi="Times"/>
          <w:lang w:eastAsia="zh-TW"/>
        </w:rPr>
        <w:t xml:space="preserve">, </w:t>
      </w:r>
      <w:proofErr w:type="spellStart"/>
      <w:r>
        <w:rPr>
          <w:rFonts w:ascii="Times" w:hAnsi="Times"/>
          <w:i/>
          <w:lang w:eastAsia="zh-TW"/>
        </w:rPr>
        <w:t>xian</w:t>
      </w:r>
      <w:proofErr w:type="spellEnd"/>
      <w:r>
        <w:rPr>
          <w:rFonts w:ascii="Times" w:hAnsi="Times"/>
          <w:lang w:eastAsia="zh-TW"/>
        </w:rPr>
        <w:t xml:space="preserve"> est communément traduit par « sous-préfecture » ; le </w:t>
      </w:r>
      <w:proofErr w:type="spellStart"/>
      <w:r>
        <w:rPr>
          <w:rFonts w:ascii="Times" w:hAnsi="Times"/>
          <w:lang w:eastAsia="zh-TW"/>
        </w:rPr>
        <w:t>ting</w:t>
      </w:r>
      <w:proofErr w:type="spellEnd"/>
      <w:r>
        <w:rPr>
          <w:rFonts w:ascii="Times" w:hAnsi="Times"/>
          <w:lang w:eastAsia="zh-TW"/>
        </w:rPr>
        <w:t xml:space="preserve"> devrait donc être un district ? </w:t>
      </w:r>
    </w:p>
  </w:footnote>
  <w:footnote w:id="4">
    <w:p w14:paraId="3B81FB48" w14:textId="1F931CD7" w:rsidR="00734862" w:rsidRDefault="00734862" w:rsidP="00E55712">
      <w:pPr>
        <w:pStyle w:val="Notedebasdepage"/>
        <w:rPr>
          <w:rFonts w:ascii="Times" w:hAnsi="Times"/>
          <w:lang w:eastAsia="zh-TW"/>
        </w:rPr>
      </w:pPr>
      <w:r>
        <w:rPr>
          <w:rStyle w:val="Marquenotebasdepage"/>
        </w:rPr>
        <w:footnoteRef/>
      </w:r>
      <w:r w:rsidRPr="00B25F91">
        <w:rPr>
          <w:rFonts w:ascii="Times" w:hAnsi="Times"/>
        </w:rPr>
        <w:t>通判</w:t>
      </w:r>
      <w:r>
        <w:rPr>
          <w:rFonts w:ascii="Times" w:hAnsi="Times"/>
        </w:rPr>
        <w:t> : assistant du sous-préfet (</w:t>
      </w:r>
      <w:proofErr w:type="spellStart"/>
      <w:r>
        <w:rPr>
          <w:rFonts w:ascii="Times" w:hAnsi="Times"/>
        </w:rPr>
        <w:t>tongzhi</w:t>
      </w:r>
      <w:proofErr w:type="spellEnd"/>
      <w:r>
        <w:rPr>
          <w:rFonts w:ascii="Times" w:hAnsi="Times"/>
        </w:rPr>
        <w:t>, voir notre précédente), notamment dans ses taches judiciaires (</w:t>
      </w:r>
      <w:proofErr w:type="spellStart"/>
      <w:r>
        <w:rPr>
          <w:rFonts w:ascii="Times" w:hAnsi="Times"/>
        </w:rPr>
        <w:t>Hucker</w:t>
      </w:r>
      <w:proofErr w:type="spellEnd"/>
      <w:r>
        <w:rPr>
          <w:rFonts w:ascii="Times" w:hAnsi="Times"/>
        </w:rPr>
        <w:t xml:space="preserve"> 7497) CEPENDANT, D’APRÈS LE TABLEAU FOURNI PAR XIE XINZHE, CES DEUX FONCTIONNAIRES SONT DE RANG PRÉFECTORAL (</w:t>
      </w:r>
      <w:r>
        <w:rPr>
          <w:rFonts w:ascii="Times" w:hAnsi="Times" w:hint="eastAsia"/>
          <w:lang w:eastAsia="zh-TW"/>
        </w:rPr>
        <w:t>縣</w:t>
      </w:r>
      <w:r>
        <w:rPr>
          <w:rFonts w:ascii="Times" w:hAnsi="Times"/>
          <w:lang w:eastAsia="zh-TW"/>
        </w:rPr>
        <w:t>)</w:t>
      </w:r>
      <w:r>
        <w:rPr>
          <w:rFonts w:ascii="Times" w:hAnsi="Times"/>
        </w:rPr>
        <w:t xml:space="preserve">, ET NON SUB-PRÉFECTORAL </w:t>
      </w:r>
      <w:r>
        <w:rPr>
          <w:rFonts w:ascii="Times" w:hAnsi="Times" w:hint="eastAsia"/>
          <w:lang w:eastAsia="zh-TW"/>
        </w:rPr>
        <w:t>（亭</w:t>
      </w:r>
      <w:r>
        <w:rPr>
          <w:rFonts w:ascii="Times" w:hAnsi="Times"/>
          <w:lang w:eastAsia="zh-TW"/>
        </w:rPr>
        <w:t>)</w:t>
      </w:r>
    </w:p>
    <w:p w14:paraId="69C632D1" w14:textId="77777777" w:rsidR="00734862" w:rsidRPr="00E55712" w:rsidRDefault="00734862" w:rsidP="00E55712">
      <w:pPr>
        <w:pStyle w:val="Notedebasdepage"/>
        <w:rPr>
          <w:rFonts w:ascii="Times" w:hAnsi="Times"/>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685"/>
        <w:gridCol w:w="915"/>
        <w:gridCol w:w="915"/>
        <w:gridCol w:w="1637"/>
        <w:gridCol w:w="1603"/>
      </w:tblGrid>
      <w:tr w:rsidR="00734862" w:rsidRPr="00E55712" w14:paraId="55FD6BF8" w14:textId="77777777" w:rsidTr="002115E8">
        <w:trPr>
          <w:trHeight w:val="185"/>
        </w:trPr>
        <w:tc>
          <w:tcPr>
            <w:tcW w:w="1767" w:type="dxa"/>
            <w:vMerge w:val="restart"/>
            <w:tcBorders>
              <w:tl2br w:val="single" w:sz="4" w:space="0" w:color="auto"/>
            </w:tcBorders>
            <w:shd w:val="clear" w:color="auto" w:fill="auto"/>
          </w:tcPr>
          <w:p w14:paraId="0491D8B2" w14:textId="77777777" w:rsidR="00734862" w:rsidRPr="00E55712" w:rsidRDefault="00734862" w:rsidP="002115E8">
            <w:pPr>
              <w:jc w:val="both"/>
              <w:rPr>
                <w:sz w:val="20"/>
                <w:szCs w:val="20"/>
              </w:rPr>
            </w:pPr>
          </w:p>
        </w:tc>
        <w:tc>
          <w:tcPr>
            <w:tcW w:w="1685" w:type="dxa"/>
            <w:vMerge w:val="restart"/>
            <w:shd w:val="clear" w:color="auto" w:fill="auto"/>
          </w:tcPr>
          <w:p w14:paraId="6A32C87A" w14:textId="77777777" w:rsidR="00734862" w:rsidRPr="00E55712" w:rsidRDefault="00734862" w:rsidP="002115E8">
            <w:pPr>
              <w:jc w:val="both"/>
              <w:rPr>
                <w:sz w:val="20"/>
                <w:szCs w:val="20"/>
              </w:rPr>
            </w:pPr>
            <w:r w:rsidRPr="00E55712">
              <w:rPr>
                <w:sz w:val="20"/>
                <w:szCs w:val="20"/>
              </w:rPr>
              <w:t>Official in charge of the seal</w:t>
            </w:r>
          </w:p>
        </w:tc>
        <w:tc>
          <w:tcPr>
            <w:tcW w:w="1830" w:type="dxa"/>
            <w:gridSpan w:val="2"/>
            <w:shd w:val="clear" w:color="auto" w:fill="auto"/>
          </w:tcPr>
          <w:p w14:paraId="3941E9C8" w14:textId="77777777" w:rsidR="00734862" w:rsidRPr="00E55712" w:rsidRDefault="00734862" w:rsidP="002115E8">
            <w:pPr>
              <w:jc w:val="both"/>
              <w:rPr>
                <w:sz w:val="20"/>
                <w:szCs w:val="20"/>
              </w:rPr>
            </w:pPr>
            <w:r w:rsidRPr="00E55712">
              <w:rPr>
                <w:sz w:val="20"/>
                <w:szCs w:val="20"/>
              </w:rPr>
              <w:t>Assistant official</w:t>
            </w:r>
          </w:p>
        </w:tc>
        <w:tc>
          <w:tcPr>
            <w:tcW w:w="1637" w:type="dxa"/>
            <w:vMerge w:val="restart"/>
            <w:shd w:val="clear" w:color="auto" w:fill="auto"/>
          </w:tcPr>
          <w:p w14:paraId="30B261FE" w14:textId="77777777" w:rsidR="00734862" w:rsidRPr="00E55712" w:rsidRDefault="00734862" w:rsidP="002115E8">
            <w:pPr>
              <w:jc w:val="both"/>
              <w:rPr>
                <w:sz w:val="20"/>
                <w:szCs w:val="20"/>
              </w:rPr>
            </w:pPr>
            <w:r w:rsidRPr="00E55712">
              <w:rPr>
                <w:sz w:val="20"/>
                <w:szCs w:val="20"/>
              </w:rPr>
              <w:t>Chief officer</w:t>
            </w:r>
          </w:p>
        </w:tc>
        <w:tc>
          <w:tcPr>
            <w:tcW w:w="1603" w:type="dxa"/>
            <w:vMerge w:val="restart"/>
            <w:shd w:val="clear" w:color="auto" w:fill="auto"/>
          </w:tcPr>
          <w:p w14:paraId="466619ED" w14:textId="77777777" w:rsidR="00734862" w:rsidRPr="00E55712" w:rsidRDefault="00734862" w:rsidP="002115E8">
            <w:pPr>
              <w:jc w:val="both"/>
              <w:rPr>
                <w:sz w:val="20"/>
                <w:szCs w:val="20"/>
              </w:rPr>
            </w:pPr>
            <w:r w:rsidRPr="00E55712">
              <w:rPr>
                <w:sz w:val="20"/>
                <w:szCs w:val="20"/>
              </w:rPr>
              <w:t>Miscellaneous officials</w:t>
            </w:r>
          </w:p>
        </w:tc>
      </w:tr>
      <w:tr w:rsidR="00734862" w:rsidRPr="00E55712" w14:paraId="4180D93F" w14:textId="77777777" w:rsidTr="002115E8">
        <w:trPr>
          <w:trHeight w:val="185"/>
        </w:trPr>
        <w:tc>
          <w:tcPr>
            <w:tcW w:w="1767" w:type="dxa"/>
            <w:vMerge/>
            <w:tcBorders>
              <w:tl2br w:val="single" w:sz="4" w:space="0" w:color="auto"/>
            </w:tcBorders>
            <w:shd w:val="clear" w:color="auto" w:fill="auto"/>
          </w:tcPr>
          <w:p w14:paraId="7623DEE2" w14:textId="77777777" w:rsidR="00734862" w:rsidRPr="00E55712" w:rsidRDefault="00734862" w:rsidP="002115E8">
            <w:pPr>
              <w:jc w:val="both"/>
              <w:rPr>
                <w:sz w:val="20"/>
                <w:szCs w:val="20"/>
              </w:rPr>
            </w:pPr>
          </w:p>
        </w:tc>
        <w:tc>
          <w:tcPr>
            <w:tcW w:w="1685" w:type="dxa"/>
            <w:vMerge/>
            <w:shd w:val="clear" w:color="auto" w:fill="auto"/>
          </w:tcPr>
          <w:p w14:paraId="592A837A" w14:textId="77777777" w:rsidR="00734862" w:rsidRPr="00E55712" w:rsidRDefault="00734862" w:rsidP="002115E8">
            <w:pPr>
              <w:jc w:val="both"/>
              <w:rPr>
                <w:sz w:val="20"/>
                <w:szCs w:val="20"/>
              </w:rPr>
            </w:pPr>
          </w:p>
        </w:tc>
        <w:tc>
          <w:tcPr>
            <w:tcW w:w="915" w:type="dxa"/>
            <w:shd w:val="clear" w:color="auto" w:fill="auto"/>
          </w:tcPr>
          <w:p w14:paraId="4F02D76E" w14:textId="77777777" w:rsidR="00734862" w:rsidRPr="00E55712" w:rsidRDefault="00734862" w:rsidP="002115E8">
            <w:pPr>
              <w:jc w:val="both"/>
              <w:rPr>
                <w:sz w:val="20"/>
                <w:szCs w:val="20"/>
              </w:rPr>
            </w:pPr>
            <w:r w:rsidRPr="00E55712">
              <w:rPr>
                <w:sz w:val="20"/>
                <w:szCs w:val="20"/>
              </w:rPr>
              <w:t>1</w:t>
            </w:r>
            <w:r w:rsidRPr="00E55712">
              <w:rPr>
                <w:sz w:val="20"/>
                <w:szCs w:val="20"/>
                <w:vertAlign w:val="superscript"/>
              </w:rPr>
              <w:t>st</w:t>
            </w:r>
            <w:r w:rsidRPr="00E55712">
              <w:rPr>
                <w:sz w:val="20"/>
                <w:szCs w:val="20"/>
              </w:rPr>
              <w:t xml:space="preserve"> class</w:t>
            </w:r>
          </w:p>
        </w:tc>
        <w:tc>
          <w:tcPr>
            <w:tcW w:w="915" w:type="dxa"/>
            <w:shd w:val="clear" w:color="auto" w:fill="auto"/>
          </w:tcPr>
          <w:p w14:paraId="3B0F7752" w14:textId="77777777" w:rsidR="00734862" w:rsidRPr="00E55712" w:rsidRDefault="00734862" w:rsidP="002115E8">
            <w:pPr>
              <w:jc w:val="both"/>
              <w:rPr>
                <w:sz w:val="20"/>
                <w:szCs w:val="20"/>
              </w:rPr>
            </w:pPr>
            <w:r w:rsidRPr="00E55712">
              <w:rPr>
                <w:sz w:val="20"/>
                <w:szCs w:val="20"/>
              </w:rPr>
              <w:t>2</w:t>
            </w:r>
            <w:r w:rsidRPr="00E55712">
              <w:rPr>
                <w:sz w:val="20"/>
                <w:szCs w:val="20"/>
                <w:vertAlign w:val="superscript"/>
              </w:rPr>
              <w:t>nd</w:t>
            </w:r>
            <w:r w:rsidRPr="00E55712">
              <w:rPr>
                <w:sz w:val="20"/>
                <w:szCs w:val="20"/>
              </w:rPr>
              <w:t xml:space="preserve"> class</w:t>
            </w:r>
          </w:p>
        </w:tc>
        <w:tc>
          <w:tcPr>
            <w:tcW w:w="1637" w:type="dxa"/>
            <w:vMerge/>
            <w:shd w:val="clear" w:color="auto" w:fill="auto"/>
          </w:tcPr>
          <w:p w14:paraId="5B614EE4" w14:textId="77777777" w:rsidR="00734862" w:rsidRPr="00E55712" w:rsidRDefault="00734862" w:rsidP="002115E8">
            <w:pPr>
              <w:jc w:val="both"/>
              <w:rPr>
                <w:sz w:val="20"/>
                <w:szCs w:val="20"/>
              </w:rPr>
            </w:pPr>
          </w:p>
        </w:tc>
        <w:tc>
          <w:tcPr>
            <w:tcW w:w="1603" w:type="dxa"/>
            <w:vMerge/>
            <w:shd w:val="clear" w:color="auto" w:fill="auto"/>
          </w:tcPr>
          <w:p w14:paraId="3F1C7352" w14:textId="77777777" w:rsidR="00734862" w:rsidRPr="00E55712" w:rsidRDefault="00734862" w:rsidP="002115E8">
            <w:pPr>
              <w:jc w:val="both"/>
              <w:rPr>
                <w:sz w:val="20"/>
                <w:szCs w:val="20"/>
              </w:rPr>
            </w:pPr>
          </w:p>
        </w:tc>
      </w:tr>
      <w:tr w:rsidR="00734862" w:rsidRPr="00E55712" w14:paraId="15366588" w14:textId="77777777" w:rsidTr="00E55712">
        <w:trPr>
          <w:trHeight w:val="506"/>
        </w:trPr>
        <w:tc>
          <w:tcPr>
            <w:tcW w:w="1767" w:type="dxa"/>
            <w:shd w:val="clear" w:color="auto" w:fill="auto"/>
          </w:tcPr>
          <w:p w14:paraId="071B122B" w14:textId="77777777" w:rsidR="00734862" w:rsidRPr="00E55712" w:rsidRDefault="00734862" w:rsidP="002115E8">
            <w:pPr>
              <w:jc w:val="both"/>
              <w:rPr>
                <w:sz w:val="20"/>
                <w:szCs w:val="20"/>
              </w:rPr>
            </w:pPr>
            <w:r w:rsidRPr="00E55712">
              <w:rPr>
                <w:sz w:val="20"/>
                <w:szCs w:val="20"/>
              </w:rPr>
              <w:t>Prefecture</w:t>
            </w:r>
          </w:p>
        </w:tc>
        <w:tc>
          <w:tcPr>
            <w:tcW w:w="1685" w:type="dxa"/>
            <w:shd w:val="clear" w:color="auto" w:fill="auto"/>
          </w:tcPr>
          <w:p w14:paraId="3494ABA7" w14:textId="77777777" w:rsidR="00734862" w:rsidRPr="00E55712" w:rsidRDefault="00734862" w:rsidP="002115E8">
            <w:pPr>
              <w:jc w:val="both"/>
              <w:rPr>
                <w:sz w:val="20"/>
                <w:szCs w:val="20"/>
              </w:rPr>
            </w:pPr>
            <w:r w:rsidRPr="00E55712">
              <w:rPr>
                <w:rFonts w:hint="eastAsia"/>
                <w:sz w:val="20"/>
                <w:szCs w:val="20"/>
              </w:rPr>
              <w:t>知州</w:t>
            </w:r>
            <w:r w:rsidRPr="00E55712">
              <w:rPr>
                <w:sz w:val="20"/>
                <w:szCs w:val="20"/>
              </w:rPr>
              <w:t xml:space="preserve"> (4b)</w:t>
            </w:r>
          </w:p>
        </w:tc>
        <w:tc>
          <w:tcPr>
            <w:tcW w:w="915" w:type="dxa"/>
            <w:shd w:val="clear" w:color="auto" w:fill="auto"/>
          </w:tcPr>
          <w:p w14:paraId="4689E9B4" w14:textId="77777777" w:rsidR="00734862" w:rsidRPr="00E55712" w:rsidRDefault="00734862" w:rsidP="002115E8">
            <w:pPr>
              <w:jc w:val="both"/>
              <w:rPr>
                <w:sz w:val="20"/>
                <w:szCs w:val="20"/>
              </w:rPr>
            </w:pPr>
            <w:r w:rsidRPr="00E55712">
              <w:rPr>
                <w:rFonts w:hint="eastAsia"/>
                <w:sz w:val="20"/>
                <w:szCs w:val="20"/>
              </w:rPr>
              <w:t>同知</w:t>
            </w:r>
            <w:r w:rsidRPr="00E55712">
              <w:rPr>
                <w:sz w:val="20"/>
                <w:szCs w:val="20"/>
              </w:rPr>
              <w:t xml:space="preserve"> (5a)</w:t>
            </w:r>
          </w:p>
        </w:tc>
        <w:tc>
          <w:tcPr>
            <w:tcW w:w="915" w:type="dxa"/>
            <w:shd w:val="clear" w:color="auto" w:fill="auto"/>
          </w:tcPr>
          <w:p w14:paraId="33D77589" w14:textId="77777777" w:rsidR="00734862" w:rsidRPr="00E55712" w:rsidRDefault="00734862" w:rsidP="002115E8">
            <w:pPr>
              <w:jc w:val="both"/>
              <w:rPr>
                <w:sz w:val="20"/>
                <w:szCs w:val="20"/>
              </w:rPr>
            </w:pPr>
            <w:r w:rsidRPr="00E55712">
              <w:rPr>
                <w:rFonts w:hint="eastAsia"/>
                <w:sz w:val="20"/>
                <w:szCs w:val="20"/>
              </w:rPr>
              <w:t>通判</w:t>
            </w:r>
            <w:r w:rsidRPr="00E55712">
              <w:rPr>
                <w:rFonts w:hint="eastAsia"/>
                <w:sz w:val="20"/>
                <w:szCs w:val="20"/>
              </w:rPr>
              <w:t xml:space="preserve"> </w:t>
            </w:r>
            <w:r w:rsidRPr="00E55712">
              <w:rPr>
                <w:sz w:val="20"/>
                <w:szCs w:val="20"/>
              </w:rPr>
              <w:t>(6a)</w:t>
            </w:r>
          </w:p>
        </w:tc>
        <w:tc>
          <w:tcPr>
            <w:tcW w:w="1637" w:type="dxa"/>
            <w:shd w:val="clear" w:color="auto" w:fill="auto"/>
          </w:tcPr>
          <w:p w14:paraId="6BC4C5C2" w14:textId="77777777" w:rsidR="00734862" w:rsidRPr="00E55712" w:rsidRDefault="00734862" w:rsidP="002115E8">
            <w:pPr>
              <w:jc w:val="both"/>
              <w:rPr>
                <w:rFonts w:hint="eastAsia"/>
                <w:sz w:val="20"/>
                <w:szCs w:val="20"/>
              </w:rPr>
            </w:pPr>
            <w:r w:rsidRPr="00E55712">
              <w:rPr>
                <w:rFonts w:hint="eastAsia"/>
                <w:sz w:val="20"/>
                <w:szCs w:val="20"/>
              </w:rPr>
              <w:t>經歷</w:t>
            </w:r>
            <w:r w:rsidRPr="00E55712">
              <w:rPr>
                <w:sz w:val="20"/>
                <w:szCs w:val="20"/>
              </w:rPr>
              <w:t xml:space="preserve"> (8a) or</w:t>
            </w:r>
            <w:r w:rsidRPr="00E55712">
              <w:rPr>
                <w:rFonts w:hint="eastAsia"/>
                <w:sz w:val="20"/>
                <w:szCs w:val="20"/>
              </w:rPr>
              <w:t>照磨</w:t>
            </w:r>
            <w:r w:rsidRPr="00E55712">
              <w:rPr>
                <w:sz w:val="20"/>
                <w:szCs w:val="20"/>
              </w:rPr>
              <w:t xml:space="preserve"> (9b)</w:t>
            </w:r>
          </w:p>
        </w:tc>
        <w:tc>
          <w:tcPr>
            <w:tcW w:w="1603" w:type="dxa"/>
            <w:shd w:val="clear" w:color="auto" w:fill="auto"/>
          </w:tcPr>
          <w:p w14:paraId="76E39E22" w14:textId="77777777" w:rsidR="00734862" w:rsidRPr="00E55712" w:rsidRDefault="00734862" w:rsidP="002115E8">
            <w:pPr>
              <w:jc w:val="both"/>
              <w:rPr>
                <w:sz w:val="20"/>
                <w:szCs w:val="20"/>
              </w:rPr>
            </w:pPr>
            <w:r w:rsidRPr="00E55712">
              <w:rPr>
                <w:sz w:val="20"/>
                <w:szCs w:val="20"/>
              </w:rPr>
              <w:t>?</w:t>
            </w:r>
          </w:p>
        </w:tc>
      </w:tr>
      <w:tr w:rsidR="00734862" w:rsidRPr="00E55712" w14:paraId="56A458AC" w14:textId="77777777" w:rsidTr="00E55712">
        <w:trPr>
          <w:trHeight w:val="487"/>
        </w:trPr>
        <w:tc>
          <w:tcPr>
            <w:tcW w:w="1767" w:type="dxa"/>
            <w:shd w:val="clear" w:color="auto" w:fill="auto"/>
          </w:tcPr>
          <w:p w14:paraId="62E1CA87" w14:textId="77777777" w:rsidR="00734862" w:rsidRPr="00E55712" w:rsidRDefault="00734862" w:rsidP="002115E8">
            <w:pPr>
              <w:jc w:val="both"/>
              <w:rPr>
                <w:sz w:val="20"/>
                <w:szCs w:val="20"/>
              </w:rPr>
            </w:pPr>
            <w:r w:rsidRPr="00E55712">
              <w:rPr>
                <w:sz w:val="20"/>
                <w:szCs w:val="20"/>
              </w:rPr>
              <w:t>Sub-prefecture</w:t>
            </w:r>
          </w:p>
        </w:tc>
        <w:tc>
          <w:tcPr>
            <w:tcW w:w="1685" w:type="dxa"/>
            <w:shd w:val="clear" w:color="auto" w:fill="auto"/>
          </w:tcPr>
          <w:p w14:paraId="0B2378C2" w14:textId="77777777" w:rsidR="00734862" w:rsidRPr="00E55712" w:rsidRDefault="00734862" w:rsidP="002115E8">
            <w:pPr>
              <w:jc w:val="both"/>
              <w:rPr>
                <w:sz w:val="20"/>
                <w:szCs w:val="20"/>
              </w:rPr>
            </w:pPr>
            <w:r w:rsidRPr="00E55712">
              <w:rPr>
                <w:rFonts w:hint="eastAsia"/>
                <w:sz w:val="20"/>
                <w:szCs w:val="20"/>
              </w:rPr>
              <w:t>知府</w:t>
            </w:r>
            <w:r w:rsidRPr="00E55712">
              <w:rPr>
                <w:rFonts w:hint="eastAsia"/>
                <w:sz w:val="20"/>
                <w:szCs w:val="20"/>
              </w:rPr>
              <w:t xml:space="preserve"> </w:t>
            </w:r>
            <w:r w:rsidRPr="00E55712">
              <w:rPr>
                <w:sz w:val="20"/>
                <w:szCs w:val="20"/>
              </w:rPr>
              <w:t>(5b or 5a if directly affiliated)</w:t>
            </w:r>
          </w:p>
        </w:tc>
        <w:tc>
          <w:tcPr>
            <w:tcW w:w="915" w:type="dxa"/>
            <w:shd w:val="clear" w:color="auto" w:fill="auto"/>
          </w:tcPr>
          <w:p w14:paraId="6ADC6A8A" w14:textId="77777777" w:rsidR="00734862" w:rsidRPr="00E55712" w:rsidRDefault="00734862" w:rsidP="002115E8">
            <w:pPr>
              <w:jc w:val="both"/>
              <w:rPr>
                <w:sz w:val="20"/>
                <w:szCs w:val="20"/>
              </w:rPr>
            </w:pPr>
            <w:r w:rsidRPr="00E55712">
              <w:rPr>
                <w:rFonts w:hint="eastAsia"/>
                <w:sz w:val="20"/>
                <w:szCs w:val="20"/>
              </w:rPr>
              <w:t>州同</w:t>
            </w:r>
            <w:r w:rsidRPr="00E55712">
              <w:rPr>
                <w:rFonts w:hint="eastAsia"/>
                <w:sz w:val="20"/>
                <w:szCs w:val="20"/>
              </w:rPr>
              <w:t xml:space="preserve"> </w:t>
            </w:r>
            <w:r w:rsidRPr="00E55712">
              <w:rPr>
                <w:sz w:val="20"/>
                <w:szCs w:val="20"/>
              </w:rPr>
              <w:t>(6b)</w:t>
            </w:r>
          </w:p>
        </w:tc>
        <w:tc>
          <w:tcPr>
            <w:tcW w:w="915" w:type="dxa"/>
            <w:shd w:val="clear" w:color="auto" w:fill="auto"/>
          </w:tcPr>
          <w:p w14:paraId="24F01596" w14:textId="77777777" w:rsidR="00734862" w:rsidRPr="00E55712" w:rsidRDefault="00734862" w:rsidP="002115E8">
            <w:pPr>
              <w:jc w:val="both"/>
              <w:rPr>
                <w:rFonts w:hint="eastAsia"/>
                <w:sz w:val="20"/>
                <w:szCs w:val="20"/>
              </w:rPr>
            </w:pPr>
            <w:r w:rsidRPr="00E55712">
              <w:rPr>
                <w:rFonts w:hint="eastAsia"/>
                <w:sz w:val="20"/>
                <w:szCs w:val="20"/>
              </w:rPr>
              <w:t>州判</w:t>
            </w:r>
            <w:r w:rsidRPr="00E55712">
              <w:rPr>
                <w:rFonts w:hint="eastAsia"/>
                <w:sz w:val="20"/>
                <w:szCs w:val="20"/>
              </w:rPr>
              <w:t xml:space="preserve"> (</w:t>
            </w:r>
            <w:r w:rsidRPr="00E55712">
              <w:rPr>
                <w:sz w:val="20"/>
                <w:szCs w:val="20"/>
              </w:rPr>
              <w:t>7b</w:t>
            </w:r>
            <w:r w:rsidRPr="00E55712">
              <w:rPr>
                <w:rFonts w:hint="eastAsia"/>
                <w:sz w:val="20"/>
                <w:szCs w:val="20"/>
              </w:rPr>
              <w:t>)</w:t>
            </w:r>
          </w:p>
        </w:tc>
        <w:tc>
          <w:tcPr>
            <w:tcW w:w="1637" w:type="dxa"/>
            <w:shd w:val="clear" w:color="auto" w:fill="auto"/>
          </w:tcPr>
          <w:p w14:paraId="2978F33C" w14:textId="77777777" w:rsidR="00734862" w:rsidRPr="00E55712" w:rsidRDefault="00734862" w:rsidP="002115E8">
            <w:pPr>
              <w:jc w:val="both"/>
              <w:rPr>
                <w:sz w:val="20"/>
                <w:szCs w:val="20"/>
              </w:rPr>
            </w:pPr>
            <w:r w:rsidRPr="00E55712">
              <w:rPr>
                <w:rFonts w:hint="eastAsia"/>
                <w:sz w:val="20"/>
                <w:szCs w:val="20"/>
              </w:rPr>
              <w:t>吏目</w:t>
            </w:r>
            <w:r w:rsidRPr="00E55712">
              <w:rPr>
                <w:sz w:val="20"/>
                <w:szCs w:val="20"/>
              </w:rPr>
              <w:t xml:space="preserve"> (9b)</w:t>
            </w:r>
          </w:p>
        </w:tc>
        <w:tc>
          <w:tcPr>
            <w:tcW w:w="1603" w:type="dxa"/>
            <w:vMerge w:val="restart"/>
            <w:shd w:val="clear" w:color="auto" w:fill="auto"/>
          </w:tcPr>
          <w:p w14:paraId="2018132D" w14:textId="77777777" w:rsidR="00734862" w:rsidRPr="00E55712" w:rsidRDefault="00734862" w:rsidP="002115E8">
            <w:pPr>
              <w:jc w:val="both"/>
              <w:rPr>
                <w:sz w:val="20"/>
                <w:szCs w:val="20"/>
              </w:rPr>
            </w:pPr>
            <w:r w:rsidRPr="00E55712">
              <w:rPr>
                <w:rFonts w:hint="eastAsia"/>
                <w:sz w:val="20"/>
                <w:szCs w:val="20"/>
              </w:rPr>
              <w:t>巡檢</w:t>
            </w:r>
            <w:r w:rsidRPr="00E55712">
              <w:rPr>
                <w:sz w:val="20"/>
                <w:szCs w:val="20"/>
              </w:rPr>
              <w:t xml:space="preserve"> (9b)</w:t>
            </w:r>
          </w:p>
        </w:tc>
      </w:tr>
      <w:tr w:rsidR="00734862" w:rsidRPr="00E55712" w14:paraId="53E139B3" w14:textId="77777777" w:rsidTr="00E55712">
        <w:trPr>
          <w:trHeight w:val="483"/>
        </w:trPr>
        <w:tc>
          <w:tcPr>
            <w:tcW w:w="1767" w:type="dxa"/>
            <w:shd w:val="clear" w:color="auto" w:fill="auto"/>
          </w:tcPr>
          <w:p w14:paraId="79EAA894" w14:textId="77777777" w:rsidR="00734862" w:rsidRPr="00E55712" w:rsidRDefault="00734862" w:rsidP="002115E8">
            <w:pPr>
              <w:jc w:val="both"/>
              <w:rPr>
                <w:sz w:val="20"/>
                <w:szCs w:val="20"/>
              </w:rPr>
            </w:pPr>
            <w:r w:rsidRPr="00E55712">
              <w:rPr>
                <w:sz w:val="20"/>
                <w:szCs w:val="20"/>
              </w:rPr>
              <w:t>County</w:t>
            </w:r>
          </w:p>
        </w:tc>
        <w:tc>
          <w:tcPr>
            <w:tcW w:w="1685" w:type="dxa"/>
            <w:shd w:val="clear" w:color="auto" w:fill="auto"/>
          </w:tcPr>
          <w:p w14:paraId="3A523DC3" w14:textId="77777777" w:rsidR="00734862" w:rsidRPr="00E55712" w:rsidRDefault="00734862" w:rsidP="002115E8">
            <w:pPr>
              <w:jc w:val="both"/>
              <w:rPr>
                <w:sz w:val="20"/>
                <w:szCs w:val="20"/>
              </w:rPr>
            </w:pPr>
            <w:r w:rsidRPr="00E55712">
              <w:rPr>
                <w:rFonts w:hint="eastAsia"/>
                <w:sz w:val="20"/>
                <w:szCs w:val="20"/>
              </w:rPr>
              <w:t>知縣</w:t>
            </w:r>
            <w:r w:rsidRPr="00E55712">
              <w:rPr>
                <w:sz w:val="20"/>
                <w:szCs w:val="20"/>
              </w:rPr>
              <w:t xml:space="preserve"> (7a)</w:t>
            </w:r>
          </w:p>
        </w:tc>
        <w:tc>
          <w:tcPr>
            <w:tcW w:w="915" w:type="dxa"/>
            <w:shd w:val="clear" w:color="auto" w:fill="auto"/>
          </w:tcPr>
          <w:p w14:paraId="00182F65" w14:textId="77777777" w:rsidR="00734862" w:rsidRPr="00E55712" w:rsidRDefault="00734862" w:rsidP="002115E8">
            <w:pPr>
              <w:jc w:val="both"/>
              <w:rPr>
                <w:sz w:val="20"/>
                <w:szCs w:val="20"/>
              </w:rPr>
            </w:pPr>
            <w:r w:rsidRPr="00E55712">
              <w:rPr>
                <w:rFonts w:hint="eastAsia"/>
                <w:sz w:val="20"/>
                <w:szCs w:val="20"/>
              </w:rPr>
              <w:t>縣丞</w:t>
            </w:r>
            <w:r w:rsidRPr="00E55712">
              <w:rPr>
                <w:rFonts w:hint="eastAsia"/>
                <w:sz w:val="20"/>
                <w:szCs w:val="20"/>
              </w:rPr>
              <w:t xml:space="preserve"> </w:t>
            </w:r>
            <w:r w:rsidRPr="00E55712">
              <w:rPr>
                <w:sz w:val="20"/>
                <w:szCs w:val="20"/>
              </w:rPr>
              <w:t>(8a)</w:t>
            </w:r>
          </w:p>
        </w:tc>
        <w:tc>
          <w:tcPr>
            <w:tcW w:w="915" w:type="dxa"/>
            <w:shd w:val="clear" w:color="auto" w:fill="auto"/>
          </w:tcPr>
          <w:p w14:paraId="3ADEE918" w14:textId="77777777" w:rsidR="00734862" w:rsidRPr="00E55712" w:rsidRDefault="00734862" w:rsidP="002115E8">
            <w:pPr>
              <w:jc w:val="both"/>
              <w:rPr>
                <w:sz w:val="20"/>
                <w:szCs w:val="20"/>
              </w:rPr>
            </w:pPr>
            <w:r w:rsidRPr="00E55712">
              <w:rPr>
                <w:rFonts w:hint="eastAsia"/>
                <w:sz w:val="20"/>
                <w:szCs w:val="20"/>
              </w:rPr>
              <w:t>主簿</w:t>
            </w:r>
            <w:r w:rsidRPr="00E55712">
              <w:rPr>
                <w:sz w:val="20"/>
                <w:szCs w:val="20"/>
              </w:rPr>
              <w:t>(9a)</w:t>
            </w:r>
          </w:p>
        </w:tc>
        <w:tc>
          <w:tcPr>
            <w:tcW w:w="1637" w:type="dxa"/>
            <w:shd w:val="clear" w:color="auto" w:fill="auto"/>
          </w:tcPr>
          <w:p w14:paraId="14A1086D" w14:textId="77777777" w:rsidR="00734862" w:rsidRPr="00E55712" w:rsidRDefault="00734862" w:rsidP="002115E8">
            <w:pPr>
              <w:jc w:val="both"/>
              <w:rPr>
                <w:sz w:val="20"/>
                <w:szCs w:val="20"/>
              </w:rPr>
            </w:pPr>
            <w:r w:rsidRPr="00E55712">
              <w:rPr>
                <w:rFonts w:hint="eastAsia"/>
                <w:sz w:val="20"/>
                <w:szCs w:val="20"/>
              </w:rPr>
              <w:t>典史</w:t>
            </w:r>
            <w:r w:rsidRPr="00E55712">
              <w:rPr>
                <w:rFonts w:hint="eastAsia"/>
                <w:sz w:val="20"/>
                <w:szCs w:val="20"/>
              </w:rPr>
              <w:t xml:space="preserve"> </w:t>
            </w:r>
            <w:r w:rsidRPr="00E55712">
              <w:rPr>
                <w:sz w:val="20"/>
                <w:szCs w:val="20"/>
              </w:rPr>
              <w:t>(non ranking)</w:t>
            </w:r>
          </w:p>
        </w:tc>
        <w:tc>
          <w:tcPr>
            <w:tcW w:w="1603" w:type="dxa"/>
            <w:vMerge/>
            <w:shd w:val="clear" w:color="auto" w:fill="auto"/>
          </w:tcPr>
          <w:p w14:paraId="00CD0263" w14:textId="77777777" w:rsidR="00734862" w:rsidRPr="00E55712" w:rsidRDefault="00734862" w:rsidP="002115E8">
            <w:pPr>
              <w:jc w:val="both"/>
              <w:rPr>
                <w:sz w:val="20"/>
                <w:szCs w:val="20"/>
              </w:rPr>
            </w:pPr>
          </w:p>
        </w:tc>
      </w:tr>
    </w:tbl>
    <w:p w14:paraId="026F688A" w14:textId="77777777" w:rsidR="00734862" w:rsidRPr="005B3F62" w:rsidRDefault="00734862" w:rsidP="00E55712">
      <w:pPr>
        <w:jc w:val="both"/>
      </w:pPr>
    </w:p>
    <w:p w14:paraId="070A3347" w14:textId="77777777" w:rsidR="00734862" w:rsidRPr="005B3F62" w:rsidRDefault="00734862" w:rsidP="00E55712">
      <w:pPr>
        <w:jc w:val="both"/>
      </w:pPr>
    </w:p>
    <w:p w14:paraId="01696597" w14:textId="77777777" w:rsidR="00734862" w:rsidRDefault="00734862">
      <w:pPr>
        <w:pStyle w:val="Notedebasdepage"/>
        <w:rPr>
          <w:lang w:eastAsia="zh-TW"/>
        </w:rPr>
      </w:pPr>
    </w:p>
  </w:footnote>
  <w:footnote w:id="5">
    <w:p w14:paraId="51E92FA8" w14:textId="5A12B943" w:rsidR="00734862" w:rsidRDefault="00734862">
      <w:pPr>
        <w:pStyle w:val="Notedebasdepage"/>
      </w:pPr>
      <w:r>
        <w:rPr>
          <w:rStyle w:val="Marquenotebasdepage"/>
        </w:rPr>
        <w:footnoteRef/>
      </w:r>
      <w:r>
        <w:t xml:space="preserve"> </w:t>
      </w:r>
      <w:hyperlink r:id="rId1" w:history="1">
        <w:r>
          <w:rPr>
            <w:rStyle w:val="Lienhypertexte"/>
            <w:rFonts w:ascii="儷宋 Pro" w:eastAsia="儷宋 Pro" w:hAnsi="儷宋 Pro" w:cs="儷宋 Pro" w:hint="eastAsia"/>
          </w:rPr>
          <w:t>律</w:t>
        </w:r>
        <w:r>
          <w:rPr>
            <w:rStyle w:val="Lienhypertexte"/>
            <w:rFonts w:eastAsia="Times New Roman"/>
          </w:rPr>
          <w:t>/</w:t>
        </w:r>
        <w:proofErr w:type="spellStart"/>
        <w:r>
          <w:rPr>
            <w:rStyle w:val="Lienhypertexte"/>
            <w:rFonts w:eastAsia="Times New Roman"/>
          </w:rPr>
          <w:t>lü</w:t>
        </w:r>
        <w:proofErr w:type="spellEnd"/>
        <w:r>
          <w:rPr>
            <w:rStyle w:val="Lienhypertexte"/>
            <w:rFonts w:eastAsia="Times New Roman"/>
          </w:rPr>
          <w:t xml:space="preserve"> 268 | </w:t>
        </w:r>
        <w:proofErr w:type="spellStart"/>
        <w:r>
          <w:rPr>
            <w:rStyle w:val="Lienhypertexte"/>
            <w:rFonts w:eastAsia="Times New Roman"/>
          </w:rPr>
          <w:t>Baizhou</w:t>
        </w:r>
        <w:proofErr w:type="spellEnd"/>
        <w:r>
          <w:rPr>
            <w:rStyle w:val="Lienhypertexte"/>
            <w:rFonts w:eastAsia="Times New Roman"/>
          </w:rPr>
          <w:t xml:space="preserve"> </w:t>
        </w:r>
        <w:proofErr w:type="spellStart"/>
        <w:r>
          <w:rPr>
            <w:rStyle w:val="Lienhypertexte"/>
            <w:rFonts w:eastAsia="Times New Roman"/>
          </w:rPr>
          <w:t>qiangduo</w:t>
        </w:r>
        <w:proofErr w:type="spellEnd"/>
        <w:r>
          <w:rPr>
            <w:rStyle w:val="Lienhypertexte"/>
            <w:rFonts w:eastAsia="Times New Roman"/>
          </w:rPr>
          <w:t xml:space="preserve"> </w:t>
        </w:r>
        <w:proofErr w:type="spellStart"/>
        <w:r w:rsidRPr="009F09E8">
          <w:rPr>
            <w:rStyle w:val="Lienhypertexte"/>
            <w:rFonts w:ascii="細明體" w:eastAsia="細明體" w:hAnsi="細明體" w:cs="儷宋 Pro" w:hint="eastAsia"/>
          </w:rPr>
          <w:t>白晝搶奪</w:t>
        </w:r>
        <w:r w:rsidRPr="009F09E8">
          <w:rPr>
            <w:rStyle w:val="Lienhypertexte"/>
            <w:rFonts w:ascii="細明體" w:eastAsia="細明體" w:hAnsi="細明體" w:cs="儷宋 Pro" w:hint="eastAsia"/>
            <w:color w:val="3370FF"/>
            <w:sz w:val="24"/>
            <w:szCs w:val="24"/>
            <w:vertAlign w:val="subscript"/>
          </w:rPr>
          <w:t>人少而無凶器</w:t>
        </w:r>
        <w:r w:rsidRPr="009F09E8">
          <w:rPr>
            <w:rStyle w:val="Lienhypertexte"/>
            <w:rFonts w:ascii="細明體" w:eastAsia="細明體" w:hAnsi="細明體" w:cs="Microsoft Tai Le"/>
            <w:color w:val="3370FF"/>
            <w:sz w:val="24"/>
            <w:szCs w:val="24"/>
            <w:vertAlign w:val="subscript"/>
          </w:rPr>
          <w:t>，</w:t>
        </w:r>
        <w:r w:rsidRPr="009F09E8">
          <w:rPr>
            <w:rStyle w:val="Lienhypertexte"/>
            <w:rFonts w:ascii="細明體" w:eastAsia="細明體" w:hAnsi="細明體"/>
            <w:color w:val="3370FF"/>
            <w:sz w:val="24"/>
            <w:szCs w:val="24"/>
            <w:vertAlign w:val="subscript"/>
          </w:rPr>
          <w:t>搶奪也</w:t>
        </w:r>
        <w:r w:rsidRPr="009F09E8">
          <w:rPr>
            <w:rStyle w:val="Lienhypertexte"/>
            <w:rFonts w:ascii="細明體" w:eastAsia="細明體" w:hAnsi="細明體" w:cs="Microsoft Tai Le"/>
            <w:color w:val="3370FF"/>
            <w:sz w:val="24"/>
            <w:szCs w:val="24"/>
            <w:vertAlign w:val="subscript"/>
          </w:rPr>
          <w:t>。</w:t>
        </w:r>
        <w:r w:rsidRPr="009F09E8">
          <w:rPr>
            <w:rStyle w:val="Lienhypertexte"/>
            <w:rFonts w:ascii="細明體" w:eastAsia="細明體" w:hAnsi="細明體"/>
            <w:color w:val="3370FF"/>
            <w:sz w:val="24"/>
            <w:szCs w:val="24"/>
            <w:vertAlign w:val="subscript"/>
          </w:rPr>
          <w:t>人多而有兇器</w:t>
        </w:r>
        <w:r w:rsidRPr="009F09E8">
          <w:rPr>
            <w:rStyle w:val="Lienhypertexte"/>
            <w:rFonts w:ascii="細明體" w:eastAsia="細明體" w:hAnsi="細明體" w:cs="Microsoft Tai Le"/>
            <w:color w:val="3370FF"/>
            <w:sz w:val="24"/>
            <w:szCs w:val="24"/>
            <w:vertAlign w:val="subscript"/>
          </w:rPr>
          <w:t>，</w:t>
        </w:r>
        <w:r w:rsidRPr="009F09E8">
          <w:rPr>
            <w:rStyle w:val="Lienhypertexte"/>
            <w:rFonts w:ascii="細明體" w:eastAsia="細明體" w:hAnsi="細明體"/>
            <w:color w:val="3370FF"/>
            <w:sz w:val="24"/>
            <w:szCs w:val="24"/>
            <w:vertAlign w:val="subscript"/>
          </w:rPr>
          <w:t>強劫也</w:t>
        </w:r>
        <w:proofErr w:type="spellEnd"/>
        <w:proofErr w:type="gramStart"/>
        <w:r w:rsidRPr="009F09E8">
          <w:rPr>
            <w:rStyle w:val="Lienhypertexte"/>
            <w:rFonts w:ascii="細明體" w:eastAsia="細明體" w:hAnsi="細明體" w:cs="Microsoft Tai Le"/>
            <w:color w:val="3370FF"/>
            <w:sz w:val="24"/>
            <w:szCs w:val="24"/>
            <w:vertAlign w:val="subscript"/>
          </w:rPr>
          <w:t>。</w:t>
        </w:r>
        <w:proofErr w:type="gramEnd"/>
      </w:hyperlink>
      <w:r>
        <w:rPr>
          <w:rFonts w:eastAsia="Times New Roman"/>
        </w:rPr>
        <w:t xml:space="preserve"> Le terme </w:t>
      </w:r>
      <w:proofErr w:type="spellStart"/>
      <w:r>
        <w:rPr>
          <w:rFonts w:eastAsia="Times New Roman"/>
        </w:rPr>
        <w:t>qiangduo</w:t>
      </w:r>
      <w:proofErr w:type="spellEnd"/>
      <w:r>
        <w:rPr>
          <w:rFonts w:eastAsia="Times New Roman"/>
        </w:rPr>
        <w:t xml:space="preserve"> peut signifier « vol avec violence », « détrousser » (des biens, donc), mais aussi « enlever », « ravir » des personnes.  Dans l’article 412-5, et dans l’article 268 auquel il renvoie, il semble s’agir seulement des biens. Le petit commentaire de l’article 268 précise : si les gens sont peu nombreux et sans armes, il s’agit d’un « vol avec violence » (</w:t>
      </w:r>
      <w:proofErr w:type="spellStart"/>
      <w:r>
        <w:rPr>
          <w:rFonts w:eastAsia="Times New Roman"/>
        </w:rPr>
        <w:t>qiangduo</w:t>
      </w:r>
      <w:proofErr w:type="spellEnd"/>
      <w:r>
        <w:rPr>
          <w:rFonts w:eastAsia="Times New Roman"/>
        </w:rPr>
        <w:t>) ; s’ils sont nombreux et armés, il s’agit d’un « pillage »  (</w:t>
      </w:r>
      <w:proofErr w:type="spellStart"/>
      <w:r>
        <w:rPr>
          <w:rFonts w:eastAsia="Times New Roman"/>
        </w:rPr>
        <w:t>qiangjie</w:t>
      </w:r>
      <w:proofErr w:type="spellEnd"/>
      <w:r>
        <w:rPr>
          <w:rFonts w:eastAsia="Times New Roman"/>
        </w:rPr>
        <w:t xml:space="preserve">). Dans les deux cas, l’acte est collectif,  il conviendrait donc d’ajouter « en bande » : vol en bande avec violence ; pillage en bande, </w:t>
      </w:r>
      <w:proofErr w:type="spellStart"/>
      <w:r>
        <w:rPr>
          <w:rFonts w:eastAsia="Times New Roman"/>
        </w:rPr>
        <w:t>etc</w:t>
      </w:r>
      <w:proofErr w:type="spellEnd"/>
      <w:r>
        <w:rPr>
          <w:rFonts w:eastAsia="Times New Roman"/>
        </w:rPr>
        <w:t>…</w:t>
      </w:r>
    </w:p>
  </w:footnote>
  <w:footnote w:id="6">
    <w:p w14:paraId="117E81A7" w14:textId="0E5952F8" w:rsidR="00734862" w:rsidRDefault="00734862">
      <w:pPr>
        <w:pStyle w:val="Notedebasdepage"/>
      </w:pPr>
      <w:r>
        <w:rPr>
          <w:rStyle w:val="Marquenotebasdepage"/>
        </w:rPr>
        <w:footnoteRef/>
      </w:r>
      <w:r>
        <w:t xml:space="preserve"> </w:t>
      </w:r>
      <w:proofErr w:type="spellStart"/>
      <w:r w:rsidRPr="004668FA">
        <w:rPr>
          <w:rFonts w:eastAsia="Times New Roman"/>
        </w:rPr>
        <w:t>Sihe</w:t>
      </w:r>
      <w:proofErr w:type="spellEnd"/>
      <w:r w:rsidRPr="004668FA">
        <w:rPr>
          <w:rFonts w:eastAsia="Times New Roman"/>
        </w:rPr>
        <w:t xml:space="preserve"> </w:t>
      </w:r>
      <w:proofErr w:type="spellStart"/>
      <w:r w:rsidRPr="004668FA">
        <w:rPr>
          <w:rFonts w:eastAsia="Times New Roman"/>
        </w:rPr>
        <w:t>gongshi</w:t>
      </w:r>
      <w:proofErr w:type="spellEnd"/>
      <w:r w:rsidRPr="004668FA">
        <w:rPr>
          <w:rFonts w:eastAsia="Times New Roman"/>
        </w:rPr>
        <w:t xml:space="preserve"> </w:t>
      </w:r>
      <w:r w:rsidRPr="004668FA">
        <w:rPr>
          <w:rFonts w:ascii="儷宋 Pro" w:eastAsia="儷宋 Pro" w:hAnsi="儷宋 Pro" w:cs="儷宋 Pro"/>
        </w:rPr>
        <w:t>私和公事</w:t>
      </w:r>
      <w:r>
        <w:rPr>
          <w:rFonts w:ascii="儷宋 Pro" w:eastAsia="儷宋 Pro" w:hAnsi="儷宋 Pro" w:cs="儷宋 Pro"/>
          <w:sz w:val="18"/>
          <w:szCs w:val="18"/>
          <w:vertAlign w:val="subscript"/>
        </w:rPr>
        <w:t xml:space="preserve">, </w:t>
      </w:r>
      <w:r>
        <w:t>j’ai rétabli le titre dans son intégralité, sans quoi on ne comprend pas l’esprit de cette loi.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527"/>
    <w:rsid w:val="00063BC5"/>
    <w:rsid w:val="000F7797"/>
    <w:rsid w:val="00125406"/>
    <w:rsid w:val="001579C8"/>
    <w:rsid w:val="001B2FE2"/>
    <w:rsid w:val="001D07CF"/>
    <w:rsid w:val="001E4ED3"/>
    <w:rsid w:val="002115E8"/>
    <w:rsid w:val="00271DEE"/>
    <w:rsid w:val="002A7D52"/>
    <w:rsid w:val="00323BA4"/>
    <w:rsid w:val="00384162"/>
    <w:rsid w:val="003C7EDD"/>
    <w:rsid w:val="003F2D54"/>
    <w:rsid w:val="00401C12"/>
    <w:rsid w:val="00443573"/>
    <w:rsid w:val="00445113"/>
    <w:rsid w:val="004668FA"/>
    <w:rsid w:val="0049280A"/>
    <w:rsid w:val="004E6C9D"/>
    <w:rsid w:val="00516428"/>
    <w:rsid w:val="00542ED1"/>
    <w:rsid w:val="00571D69"/>
    <w:rsid w:val="005847C9"/>
    <w:rsid w:val="00591404"/>
    <w:rsid w:val="00593171"/>
    <w:rsid w:val="005A0FC6"/>
    <w:rsid w:val="005B43D3"/>
    <w:rsid w:val="005F0ED5"/>
    <w:rsid w:val="006416C5"/>
    <w:rsid w:val="00672690"/>
    <w:rsid w:val="006C134E"/>
    <w:rsid w:val="006F4406"/>
    <w:rsid w:val="007164DB"/>
    <w:rsid w:val="00721D5F"/>
    <w:rsid w:val="007242F6"/>
    <w:rsid w:val="00734862"/>
    <w:rsid w:val="00760614"/>
    <w:rsid w:val="00776D2B"/>
    <w:rsid w:val="007973AB"/>
    <w:rsid w:val="007A1C2D"/>
    <w:rsid w:val="00817DCD"/>
    <w:rsid w:val="00866EE1"/>
    <w:rsid w:val="00876233"/>
    <w:rsid w:val="00885E6B"/>
    <w:rsid w:val="008910F4"/>
    <w:rsid w:val="008A4062"/>
    <w:rsid w:val="008C1471"/>
    <w:rsid w:val="008D5527"/>
    <w:rsid w:val="00917AB5"/>
    <w:rsid w:val="00940559"/>
    <w:rsid w:val="00971A6F"/>
    <w:rsid w:val="00995088"/>
    <w:rsid w:val="009F09E8"/>
    <w:rsid w:val="00A15C12"/>
    <w:rsid w:val="00A25CC5"/>
    <w:rsid w:val="00A269DC"/>
    <w:rsid w:val="00A37FC6"/>
    <w:rsid w:val="00A6068B"/>
    <w:rsid w:val="00AD702A"/>
    <w:rsid w:val="00AD707A"/>
    <w:rsid w:val="00B25F91"/>
    <w:rsid w:val="00B313D7"/>
    <w:rsid w:val="00B35E11"/>
    <w:rsid w:val="00B52DCF"/>
    <w:rsid w:val="00B66C85"/>
    <w:rsid w:val="00BC7309"/>
    <w:rsid w:val="00BD0967"/>
    <w:rsid w:val="00C47AB6"/>
    <w:rsid w:val="00C65A96"/>
    <w:rsid w:val="00C81652"/>
    <w:rsid w:val="00CC4288"/>
    <w:rsid w:val="00D206DA"/>
    <w:rsid w:val="00D45C85"/>
    <w:rsid w:val="00D66447"/>
    <w:rsid w:val="00D966CB"/>
    <w:rsid w:val="00DE4976"/>
    <w:rsid w:val="00DE7F58"/>
    <w:rsid w:val="00DF5527"/>
    <w:rsid w:val="00E40D45"/>
    <w:rsid w:val="00E55712"/>
    <w:rsid w:val="00F02A53"/>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F13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新細明體" w:hAnsiTheme="minorHAnsi" w:cstheme="minorBidi"/>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8F0"/>
    <w:rPr>
      <w:rFonts w:ascii="Times New Roman" w:hAnsi="Times New Roman"/>
      <w:sz w:val="24"/>
      <w:szCs w:val="24"/>
      <w:lang w:val="en-US"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37085"/>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037085"/>
    <w:rPr>
      <w:rFonts w:ascii="Lucida Grande" w:hAnsi="Lucida Grande"/>
      <w:sz w:val="18"/>
      <w:szCs w:val="18"/>
    </w:rPr>
  </w:style>
  <w:style w:type="paragraph" w:customStyle="1" w:styleId="citation">
    <w:name w:val="citation"/>
    <w:basedOn w:val="Normal"/>
    <w:qFormat/>
    <w:rsid w:val="008F0DE0"/>
    <w:pPr>
      <w:spacing w:before="100" w:beforeAutospacing="1"/>
      <w:ind w:left="567"/>
    </w:pPr>
    <w:rPr>
      <w:rFonts w:eastAsia="宋体"/>
      <w:sz w:val="22"/>
    </w:rPr>
  </w:style>
  <w:style w:type="paragraph" w:styleId="NormalWeb">
    <w:name w:val="Normal (Web)"/>
    <w:basedOn w:val="Normal"/>
    <w:uiPriority w:val="99"/>
    <w:rsid w:val="008D5527"/>
    <w:pPr>
      <w:spacing w:before="100" w:beforeAutospacing="1" w:after="119"/>
    </w:pPr>
    <w:rPr>
      <w:rFonts w:ascii="Arial Unicode MS" w:eastAsia="Arial Unicode MS" w:hAnsi="Arial Unicode MS" w:cs="Arial Unicode MS"/>
      <w:lang w:val="fr-FR" w:eastAsia="fr-FR"/>
    </w:rPr>
  </w:style>
  <w:style w:type="character" w:styleId="Lienhypertexte">
    <w:name w:val="Hyperlink"/>
    <w:basedOn w:val="Policepardfaut"/>
    <w:uiPriority w:val="99"/>
    <w:rsid w:val="008D5527"/>
    <w:rPr>
      <w:color w:val="0000FF"/>
      <w:u w:val="single"/>
    </w:rPr>
  </w:style>
  <w:style w:type="paragraph" w:styleId="Notedebasdepage">
    <w:name w:val="footnote text"/>
    <w:basedOn w:val="Normal"/>
    <w:link w:val="NotedebasdepageCar"/>
    <w:rsid w:val="00B66C85"/>
    <w:pPr>
      <w:spacing w:after="0"/>
    </w:pPr>
    <w:rPr>
      <w:rFonts w:eastAsia="宋体" w:cs="Times New Roman"/>
      <w:sz w:val="20"/>
      <w:szCs w:val="20"/>
      <w:lang w:val="fr-FR" w:eastAsia="fr-FR"/>
    </w:rPr>
  </w:style>
  <w:style w:type="character" w:customStyle="1" w:styleId="NotedebasdepageCar">
    <w:name w:val="Note de bas de page Car"/>
    <w:basedOn w:val="Policepardfaut"/>
    <w:link w:val="Notedebasdepage"/>
    <w:rsid w:val="00B66C85"/>
    <w:rPr>
      <w:rFonts w:ascii="Times New Roman" w:eastAsia="宋体" w:hAnsi="Times New Roman" w:cs="Times New Roman"/>
      <w:lang w:eastAsia="fr-FR"/>
    </w:rPr>
  </w:style>
  <w:style w:type="character" w:styleId="Marquenotebasdepage">
    <w:name w:val="footnote reference"/>
    <w:basedOn w:val="Policepardfaut"/>
    <w:rsid w:val="00B66C8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新細明體" w:hAnsiTheme="minorHAnsi" w:cstheme="minorBidi"/>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8F0"/>
    <w:rPr>
      <w:rFonts w:ascii="Times New Roman" w:hAnsi="Times New Roman"/>
      <w:sz w:val="24"/>
      <w:szCs w:val="24"/>
      <w:lang w:val="en-US"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37085"/>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037085"/>
    <w:rPr>
      <w:rFonts w:ascii="Lucida Grande" w:hAnsi="Lucida Grande"/>
      <w:sz w:val="18"/>
      <w:szCs w:val="18"/>
    </w:rPr>
  </w:style>
  <w:style w:type="paragraph" w:customStyle="1" w:styleId="citation">
    <w:name w:val="citation"/>
    <w:basedOn w:val="Normal"/>
    <w:qFormat/>
    <w:rsid w:val="008F0DE0"/>
    <w:pPr>
      <w:spacing w:before="100" w:beforeAutospacing="1"/>
      <w:ind w:left="567"/>
    </w:pPr>
    <w:rPr>
      <w:rFonts w:eastAsia="宋体"/>
      <w:sz w:val="22"/>
    </w:rPr>
  </w:style>
  <w:style w:type="paragraph" w:styleId="NormalWeb">
    <w:name w:val="Normal (Web)"/>
    <w:basedOn w:val="Normal"/>
    <w:uiPriority w:val="99"/>
    <w:rsid w:val="008D5527"/>
    <w:pPr>
      <w:spacing w:before="100" w:beforeAutospacing="1" w:after="119"/>
    </w:pPr>
    <w:rPr>
      <w:rFonts w:ascii="Arial Unicode MS" w:eastAsia="Arial Unicode MS" w:hAnsi="Arial Unicode MS" w:cs="Arial Unicode MS"/>
      <w:lang w:val="fr-FR" w:eastAsia="fr-FR"/>
    </w:rPr>
  </w:style>
  <w:style w:type="character" w:styleId="Lienhypertexte">
    <w:name w:val="Hyperlink"/>
    <w:basedOn w:val="Policepardfaut"/>
    <w:uiPriority w:val="99"/>
    <w:rsid w:val="008D5527"/>
    <w:rPr>
      <w:color w:val="0000FF"/>
      <w:u w:val="single"/>
    </w:rPr>
  </w:style>
  <w:style w:type="paragraph" w:styleId="Notedebasdepage">
    <w:name w:val="footnote text"/>
    <w:basedOn w:val="Normal"/>
    <w:link w:val="NotedebasdepageCar"/>
    <w:rsid w:val="00B66C85"/>
    <w:pPr>
      <w:spacing w:after="0"/>
    </w:pPr>
    <w:rPr>
      <w:rFonts w:eastAsia="宋体" w:cs="Times New Roman"/>
      <w:sz w:val="20"/>
      <w:szCs w:val="20"/>
      <w:lang w:val="fr-FR" w:eastAsia="fr-FR"/>
    </w:rPr>
  </w:style>
  <w:style w:type="character" w:customStyle="1" w:styleId="NotedebasdepageCar">
    <w:name w:val="Note de bas de page Car"/>
    <w:basedOn w:val="Policepardfaut"/>
    <w:link w:val="Notedebasdepage"/>
    <w:rsid w:val="00B66C85"/>
    <w:rPr>
      <w:rFonts w:ascii="Times New Roman" w:eastAsia="宋体" w:hAnsi="Times New Roman" w:cs="Times New Roman"/>
      <w:lang w:eastAsia="fr-FR"/>
    </w:rPr>
  </w:style>
  <w:style w:type="character" w:styleId="Marquenotebasdepage">
    <w:name w:val="footnote reference"/>
    <w:basedOn w:val="Policepardfaut"/>
    <w:rsid w:val="00B66C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1828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sc.chineselegalculture.org/Code/Da_Qing_luli_content" TargetMode="External"/><Relationship Id="rId12" Type="http://schemas.openxmlformats.org/officeDocument/2006/relationships/hyperlink" Target="http://lsc.chineselegalculture.org/Code/Da_Qing_luli_conten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sc.chineselegalculture.org/Code/Da_Qing_luli_content" TargetMode="External"/><Relationship Id="rId8" Type="http://schemas.openxmlformats.org/officeDocument/2006/relationships/hyperlink" Target="http://lsc.chineselegalculture.org/Code/Da_Qing_luli_content" TargetMode="External"/><Relationship Id="rId9" Type="http://schemas.openxmlformats.org/officeDocument/2006/relationships/hyperlink" Target="http://lsc.chineselegalculture.org/Code/Da_Qing_luli_content" TargetMode="External"/><Relationship Id="rId10" Type="http://schemas.openxmlformats.org/officeDocument/2006/relationships/hyperlink" Target="http://lsc.chineselegalculture.org/Code/Da_Qing_luli_conte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lsc.chineselegalculture.org/eC/DQLL_1740/5.6.2.268"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498</TotalTime>
  <Pages>5</Pages>
  <Words>1861</Words>
  <Characters>10237</Characters>
  <Application>Microsoft Macintosh Word</Application>
  <DocSecurity>0</DocSecurity>
  <Lines>85</Lines>
  <Paragraphs>24</Paragraphs>
  <ScaleCrop>false</ScaleCrop>
  <Company/>
  <LinksUpToDate>false</LinksUpToDate>
  <CharactersWithSpaces>12074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 ...</cp:lastModifiedBy>
  <cp:revision>25</cp:revision>
  <dcterms:created xsi:type="dcterms:W3CDTF">2013-11-17T16:59:00Z</dcterms:created>
  <dcterms:modified xsi:type="dcterms:W3CDTF">2013-11-19T10:18:00Z</dcterms:modified>
</cp:coreProperties>
</file>