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D71623" w14:textId="77777777" w:rsidR="00700937" w:rsidRPr="00275D2C" w:rsidRDefault="00091CF4" w:rsidP="00492C4E">
      <w:pPr>
        <w:jc w:val="both"/>
        <w:rPr>
          <w:rFonts w:cs="Times New Roman"/>
          <w:b/>
        </w:rPr>
      </w:pPr>
      <w:r w:rsidRPr="00275D2C">
        <w:rPr>
          <w:rFonts w:cs="Times New Roman"/>
          <w:b/>
        </w:rPr>
        <w:t>Séance 3. Juger d’après la loi, ou quand il n’y a pas de loi</w:t>
      </w:r>
    </w:p>
    <w:p w14:paraId="3DD40BC4" w14:textId="1CB4E8C9" w:rsidR="00091CF4" w:rsidRPr="00837222" w:rsidRDefault="00091CF4" w:rsidP="00492C4E">
      <w:pPr>
        <w:pStyle w:val="NormalWeb"/>
        <w:spacing w:before="0" w:beforeAutospacing="0" w:after="0" w:afterAutospacing="0"/>
        <w:jc w:val="both"/>
        <w:rPr>
          <w:rFonts w:ascii="Times New Roman" w:hAnsi="Times New Roman"/>
          <w:sz w:val="24"/>
          <w:szCs w:val="24"/>
        </w:rPr>
      </w:pPr>
      <w:bookmarkStart w:id="0" w:name="_GoBack"/>
      <w:bookmarkEnd w:id="0"/>
    </w:p>
    <w:p w14:paraId="176C2263" w14:textId="36DECEEB" w:rsidR="004B7974" w:rsidRPr="00275D2C" w:rsidRDefault="00FE71F6" w:rsidP="00492C4E">
      <w:pPr>
        <w:pStyle w:val="NormalWeb"/>
        <w:spacing w:before="0" w:beforeAutospacing="0" w:after="0" w:afterAutospacing="0"/>
        <w:jc w:val="both"/>
        <w:rPr>
          <w:rFonts w:ascii="Times New Roman" w:hAnsi="Times New Roman"/>
          <w:b/>
          <w:color w:val="0000FF"/>
          <w:sz w:val="24"/>
          <w:szCs w:val="24"/>
          <w:u w:val="single"/>
        </w:rPr>
      </w:pPr>
      <w:hyperlink r:id="rId7" w:history="1">
        <w:r w:rsidR="00091CF4" w:rsidRPr="00837222">
          <w:rPr>
            <w:rStyle w:val="Lienhypertexte"/>
            <w:rFonts w:ascii="Times New Roman" w:hAnsi="Times New Roman"/>
            <w:b/>
            <w:sz w:val="24"/>
            <w:szCs w:val="24"/>
          </w:rPr>
          <w:t>律</w:t>
        </w:r>
        <w:r w:rsidR="00091CF4" w:rsidRPr="00837222">
          <w:rPr>
            <w:rStyle w:val="Lienhypertexte"/>
            <w:rFonts w:ascii="Times New Roman" w:hAnsi="Times New Roman"/>
            <w:b/>
            <w:sz w:val="24"/>
            <w:szCs w:val="24"/>
          </w:rPr>
          <w:t xml:space="preserve">/lü 415 | Duanzui yin lüling </w:t>
        </w:r>
        <w:r w:rsidR="00091CF4" w:rsidRPr="00837222">
          <w:rPr>
            <w:rStyle w:val="Lienhypertexte"/>
            <w:rFonts w:ascii="Times New Roman" w:hAnsi="Times New Roman"/>
            <w:b/>
            <w:sz w:val="24"/>
            <w:szCs w:val="24"/>
          </w:rPr>
          <w:t>斷罪引律令</w:t>
        </w:r>
      </w:hyperlink>
    </w:p>
    <w:p w14:paraId="082C6A0E" w14:textId="77777777" w:rsidR="00091CF4" w:rsidRDefault="00091CF4" w:rsidP="00492C4E">
      <w:pPr>
        <w:pStyle w:val="NormalWeb"/>
        <w:jc w:val="both"/>
        <w:rPr>
          <w:rFonts w:ascii="Times New Roman" w:hAnsi="Times New Roman"/>
          <w:color w:val="008000"/>
        </w:rPr>
      </w:pPr>
      <w:r w:rsidRPr="00837222">
        <w:rPr>
          <w:rFonts w:ascii="Times New Roman" w:hAnsi="Times New Roman"/>
          <w:sz w:val="24"/>
          <w:szCs w:val="24"/>
        </w:rPr>
        <w:t>凡</w:t>
      </w:r>
      <w:r w:rsidRPr="00837222">
        <w:rPr>
          <w:rFonts w:ascii="Times New Roman" w:hAnsi="Times New Roman"/>
          <w:color w:val="008000"/>
        </w:rPr>
        <w:t>官司</w:t>
      </w:r>
      <w:r w:rsidRPr="00837222">
        <w:rPr>
          <w:rFonts w:ascii="Times New Roman" w:hAnsi="Times New Roman"/>
          <w:sz w:val="24"/>
          <w:szCs w:val="24"/>
        </w:rPr>
        <w:t>斷罪，皆須具引律例，違者</w:t>
      </w:r>
      <w:r w:rsidRPr="00837222">
        <w:rPr>
          <w:rFonts w:ascii="Times New Roman" w:hAnsi="Times New Roman"/>
          <w:color w:val="008000"/>
        </w:rPr>
        <w:t>，如不具引</w:t>
      </w:r>
      <w:r w:rsidRPr="00837222">
        <w:rPr>
          <w:rFonts w:ascii="Times New Roman" w:hAnsi="Times New Roman"/>
          <w:sz w:val="24"/>
          <w:szCs w:val="24"/>
        </w:rPr>
        <w:t>。笞三十；若</w:t>
      </w:r>
      <w:r w:rsidRPr="00837222">
        <w:rPr>
          <w:rFonts w:ascii="Times New Roman" w:hAnsi="Times New Roman"/>
          <w:color w:val="008000"/>
        </w:rPr>
        <w:t>律有</w:t>
      </w:r>
      <w:r w:rsidRPr="00837222">
        <w:rPr>
          <w:rFonts w:ascii="Times New Roman" w:hAnsi="Times New Roman"/>
          <w:sz w:val="24"/>
          <w:szCs w:val="24"/>
        </w:rPr>
        <w:t>數事共一條，</w:t>
      </w:r>
      <w:r w:rsidRPr="00837222">
        <w:rPr>
          <w:rFonts w:ascii="Times New Roman" w:hAnsi="Times New Roman"/>
          <w:color w:val="008000"/>
        </w:rPr>
        <w:t>官司</w:t>
      </w:r>
      <w:r w:rsidRPr="00837222">
        <w:rPr>
          <w:rFonts w:ascii="Times New Roman" w:hAnsi="Times New Roman"/>
          <w:sz w:val="24"/>
          <w:szCs w:val="24"/>
        </w:rPr>
        <w:t>止引所犯</w:t>
      </w:r>
      <w:r w:rsidRPr="00837222">
        <w:rPr>
          <w:rFonts w:ascii="Times New Roman" w:hAnsi="Times New Roman"/>
          <w:color w:val="008000"/>
        </w:rPr>
        <w:t>本</w:t>
      </w:r>
      <w:r w:rsidRPr="00837222">
        <w:rPr>
          <w:rFonts w:ascii="Times New Roman" w:hAnsi="Times New Roman"/>
          <w:sz w:val="24"/>
          <w:szCs w:val="24"/>
        </w:rPr>
        <w:t>罪者，聽。</w:t>
      </w:r>
      <w:r w:rsidRPr="00837222">
        <w:rPr>
          <w:rFonts w:ascii="Times New Roman" w:hAnsi="Times New Roman"/>
          <w:color w:val="008000"/>
        </w:rPr>
        <w:t>所犯之罪，止合一事，聽其摘引一事以斷之。</w:t>
      </w:r>
    </w:p>
    <w:p w14:paraId="2AED4AD1" w14:textId="77777777" w:rsidR="00091CF4" w:rsidRPr="00837222" w:rsidRDefault="00091CF4" w:rsidP="00492C4E">
      <w:pPr>
        <w:pStyle w:val="NormalWeb"/>
        <w:jc w:val="both"/>
        <w:rPr>
          <w:rFonts w:ascii="Times New Roman" w:hAnsi="Times New Roman"/>
          <w:color w:val="008000"/>
        </w:rPr>
      </w:pPr>
      <w:r w:rsidRPr="00837222">
        <w:rPr>
          <w:rFonts w:ascii="Times New Roman" w:hAnsi="Times New Roman"/>
          <w:sz w:val="24"/>
          <w:szCs w:val="24"/>
        </w:rPr>
        <w:t>其特旨斷罪，臨時處治，不為定律者，不得引比為律。若輒引</w:t>
      </w:r>
      <w:r w:rsidRPr="00837222">
        <w:rPr>
          <w:rFonts w:ascii="Times New Roman" w:hAnsi="Times New Roman"/>
          <w:color w:val="008000"/>
        </w:rPr>
        <w:t>比</w:t>
      </w:r>
      <w:r w:rsidRPr="00837222">
        <w:rPr>
          <w:rFonts w:ascii="Times New Roman" w:hAnsi="Times New Roman"/>
          <w:sz w:val="24"/>
          <w:szCs w:val="24"/>
        </w:rPr>
        <w:t>致</w:t>
      </w:r>
      <w:r w:rsidRPr="00837222">
        <w:rPr>
          <w:rFonts w:ascii="Times New Roman" w:hAnsi="Times New Roman"/>
          <w:color w:val="008000"/>
        </w:rPr>
        <w:t>斷</w:t>
      </w:r>
      <w:r w:rsidRPr="00837222">
        <w:rPr>
          <w:rFonts w:ascii="Times New Roman" w:hAnsi="Times New Roman"/>
          <w:sz w:val="24"/>
          <w:szCs w:val="24"/>
        </w:rPr>
        <w:t>罪有出入者，以故失論。</w:t>
      </w:r>
      <w:r w:rsidRPr="00837222">
        <w:rPr>
          <w:rFonts w:ascii="Times New Roman" w:hAnsi="Times New Roman"/>
          <w:color w:val="008000"/>
        </w:rPr>
        <w:t>故行引比者，以故出入人全罪及所增減坐之，失於引比者，以失出入人罪減等坐之。</w:t>
      </w:r>
    </w:p>
    <w:p w14:paraId="52455E61" w14:textId="594A9C7C" w:rsidR="00422372" w:rsidRPr="00275D2C" w:rsidRDefault="00422372" w:rsidP="00492C4E">
      <w:pPr>
        <w:pStyle w:val="NormalWeb"/>
        <w:jc w:val="both"/>
        <w:rPr>
          <w:rFonts w:ascii="Times New Roman" w:hAnsi="Times New Roman"/>
          <w:b/>
          <w:sz w:val="24"/>
          <w:szCs w:val="24"/>
        </w:rPr>
      </w:pPr>
      <w:r w:rsidRPr="00422372">
        <w:rPr>
          <w:rFonts w:ascii="Times New Roman" w:hAnsi="Times New Roman"/>
          <w:b/>
          <w:sz w:val="24"/>
          <w:szCs w:val="24"/>
        </w:rPr>
        <w:t>Citer un article du code ou une ordonnance</w:t>
      </w:r>
      <w:r w:rsidR="00275D2C">
        <w:rPr>
          <w:rFonts w:ascii="Times New Roman" w:hAnsi="Times New Roman"/>
          <w:b/>
          <w:sz w:val="24"/>
          <w:szCs w:val="24"/>
        </w:rPr>
        <w:t xml:space="preserve"> impériale</w:t>
      </w:r>
      <w:r w:rsidRPr="00422372">
        <w:rPr>
          <w:rFonts w:ascii="Times New Roman" w:hAnsi="Times New Roman"/>
          <w:b/>
          <w:sz w:val="24"/>
          <w:szCs w:val="24"/>
        </w:rPr>
        <w:t xml:space="preserve"> dans un jugement. </w:t>
      </w:r>
    </w:p>
    <w:p w14:paraId="0C487067" w14:textId="77777777" w:rsidR="00422372" w:rsidRPr="00422372" w:rsidRDefault="00422372" w:rsidP="00492C4E">
      <w:pPr>
        <w:pStyle w:val="NormalWeb"/>
        <w:jc w:val="both"/>
        <w:rPr>
          <w:rFonts w:ascii="Times New Roman" w:hAnsi="Times New Roman"/>
          <w:color w:val="008000"/>
        </w:rPr>
      </w:pPr>
      <w:r>
        <w:rPr>
          <w:rFonts w:ascii="Times New Roman" w:hAnsi="Times New Roman"/>
          <w:sz w:val="24"/>
          <w:szCs w:val="24"/>
        </w:rPr>
        <w:t xml:space="preserve">Tout jugement prononcé </w:t>
      </w:r>
      <w:r w:rsidRPr="00D671C5">
        <w:rPr>
          <w:rFonts w:ascii="Times New Roman" w:hAnsi="Times New Roman"/>
          <w:color w:val="008000"/>
        </w:rPr>
        <w:t>par un magistrat</w:t>
      </w:r>
      <w:r>
        <w:rPr>
          <w:rFonts w:ascii="Times New Roman" w:hAnsi="Times New Roman"/>
          <w:sz w:val="24"/>
          <w:szCs w:val="24"/>
        </w:rPr>
        <w:t xml:space="preserve"> doit toujours citer complètement un article ou un article complémentaire, pour toute infraction </w:t>
      </w:r>
      <w:r>
        <w:rPr>
          <w:rFonts w:ascii="Times New Roman" w:hAnsi="Times New Roman"/>
          <w:color w:val="008000"/>
        </w:rPr>
        <w:t>par exemple :</w:t>
      </w:r>
      <w:r w:rsidRPr="00D671C5">
        <w:rPr>
          <w:rFonts w:ascii="Times New Roman" w:hAnsi="Times New Roman"/>
          <w:color w:val="008000"/>
        </w:rPr>
        <w:t xml:space="preserve"> </w:t>
      </w:r>
      <w:r>
        <w:rPr>
          <w:rFonts w:ascii="Times New Roman" w:hAnsi="Times New Roman"/>
          <w:color w:val="008000"/>
        </w:rPr>
        <w:t xml:space="preserve">ne pas </w:t>
      </w:r>
      <w:r w:rsidRPr="00D671C5">
        <w:rPr>
          <w:rFonts w:ascii="Times New Roman" w:hAnsi="Times New Roman"/>
          <w:color w:val="008000"/>
        </w:rPr>
        <w:t xml:space="preserve">citer </w:t>
      </w:r>
      <w:r>
        <w:rPr>
          <w:rFonts w:ascii="Times New Roman" w:hAnsi="Times New Roman"/>
          <w:color w:val="008000"/>
        </w:rPr>
        <w:t>complètement</w:t>
      </w:r>
      <w:r w:rsidRPr="000E6630">
        <w:rPr>
          <w:rFonts w:ascii="Times New Roman" w:hAnsi="Times New Roman"/>
          <w:sz w:val="24"/>
          <w:szCs w:val="24"/>
        </w:rPr>
        <w:t> :</w:t>
      </w:r>
      <w:r>
        <w:rPr>
          <w:rFonts w:ascii="Times New Roman" w:hAnsi="Times New Roman"/>
          <w:color w:val="008000"/>
        </w:rPr>
        <w:t xml:space="preserve"> </w:t>
      </w:r>
      <w:r>
        <w:rPr>
          <w:rFonts w:ascii="Times New Roman" w:hAnsi="Times New Roman"/>
          <w:sz w:val="24"/>
          <w:szCs w:val="24"/>
        </w:rPr>
        <w:t xml:space="preserve">trente coups de férule ; si </w:t>
      </w:r>
      <w:r>
        <w:rPr>
          <w:rFonts w:ascii="Times New Roman" w:hAnsi="Times New Roman"/>
          <w:color w:val="008000"/>
        </w:rPr>
        <w:t xml:space="preserve">au sein du code </w:t>
      </w:r>
      <w:r>
        <w:rPr>
          <w:rFonts w:ascii="Times New Roman" w:hAnsi="Times New Roman"/>
          <w:sz w:val="24"/>
          <w:szCs w:val="24"/>
        </w:rPr>
        <w:t xml:space="preserve">plusieurs cas sont envisagés dans un même article, il est permis </w:t>
      </w:r>
      <w:r>
        <w:rPr>
          <w:rFonts w:ascii="Times New Roman" w:hAnsi="Times New Roman"/>
          <w:color w:val="008000"/>
        </w:rPr>
        <w:t xml:space="preserve">au magistrat </w:t>
      </w:r>
      <w:r>
        <w:rPr>
          <w:rFonts w:ascii="Times New Roman" w:hAnsi="Times New Roman"/>
          <w:sz w:val="24"/>
          <w:szCs w:val="24"/>
        </w:rPr>
        <w:t xml:space="preserve">de ne citer que la peine </w:t>
      </w:r>
      <w:r w:rsidRPr="000E6630">
        <w:rPr>
          <w:rFonts w:ascii="Times New Roman" w:hAnsi="Times New Roman"/>
          <w:color w:val="008000"/>
        </w:rPr>
        <w:t>du crime qui a été</w:t>
      </w:r>
      <w:r>
        <w:rPr>
          <w:rFonts w:ascii="Times New Roman" w:hAnsi="Times New Roman"/>
          <w:sz w:val="24"/>
          <w:szCs w:val="24"/>
        </w:rPr>
        <w:t xml:space="preserve"> </w:t>
      </w:r>
      <w:r>
        <w:rPr>
          <w:rFonts w:ascii="Times New Roman" w:hAnsi="Times New Roman"/>
          <w:color w:val="008000"/>
        </w:rPr>
        <w:t xml:space="preserve">effectivement </w:t>
      </w:r>
      <w:r>
        <w:rPr>
          <w:rFonts w:ascii="Times New Roman" w:hAnsi="Times New Roman"/>
          <w:sz w:val="24"/>
          <w:szCs w:val="24"/>
        </w:rPr>
        <w:t xml:space="preserve">commis. </w:t>
      </w:r>
      <w:r w:rsidRPr="00422372">
        <w:rPr>
          <w:rFonts w:ascii="Times New Roman" w:hAnsi="Times New Roman"/>
          <w:color w:val="008000"/>
        </w:rPr>
        <w:t xml:space="preserve">Si le crime commis n’est conforme qu’à un seul des cas cités, il est permis de ne citer que ce seul cas à l’appui du jugement. </w:t>
      </w:r>
    </w:p>
    <w:p w14:paraId="6C5C0273" w14:textId="7530951F" w:rsidR="008436B4" w:rsidRPr="00F35651" w:rsidRDefault="00422372" w:rsidP="00492C4E">
      <w:pPr>
        <w:pStyle w:val="NormalWeb"/>
        <w:jc w:val="both"/>
        <w:rPr>
          <w:rFonts w:ascii="Times New Roman" w:hAnsi="Times New Roman"/>
          <w:color w:val="008000"/>
        </w:rPr>
      </w:pPr>
      <w:r>
        <w:rPr>
          <w:rFonts w:ascii="Times New Roman" w:hAnsi="Times New Roman"/>
          <w:sz w:val="24"/>
          <w:szCs w:val="24"/>
        </w:rPr>
        <w:t xml:space="preserve">Lorsqu’un jugement est rendu par un rescrit spécial de l’empereur, sont la sanction d’un instant donné, ils ne sont pas des articles de lois codifiées, et ils ne peuvent être </w:t>
      </w:r>
      <w:r w:rsidR="00C720C9">
        <w:rPr>
          <w:rFonts w:ascii="Times New Roman" w:hAnsi="Times New Roman"/>
          <w:sz w:val="24"/>
          <w:szCs w:val="24"/>
        </w:rPr>
        <w:t>l’objet d’une citation directe</w:t>
      </w:r>
      <w:r>
        <w:rPr>
          <w:rFonts w:ascii="Times New Roman" w:hAnsi="Times New Roman"/>
          <w:sz w:val="24"/>
          <w:szCs w:val="24"/>
        </w:rPr>
        <w:t xml:space="preserve"> </w:t>
      </w:r>
      <w:r w:rsidR="00C720C9">
        <w:rPr>
          <w:rFonts w:ascii="Times New Roman" w:hAnsi="Times New Roman"/>
          <w:sz w:val="24"/>
          <w:szCs w:val="24"/>
        </w:rPr>
        <w:t xml:space="preserve">ou par analogie comme s’il s’agissait d’un article du code. Si une telle citation </w:t>
      </w:r>
      <w:r w:rsidR="00C720C9">
        <w:rPr>
          <w:rFonts w:ascii="Times New Roman" w:hAnsi="Times New Roman"/>
          <w:color w:val="008000"/>
        </w:rPr>
        <w:t xml:space="preserve">par analogie </w:t>
      </w:r>
      <w:r w:rsidR="00F35651">
        <w:rPr>
          <w:rFonts w:ascii="Times New Roman" w:hAnsi="Times New Roman"/>
          <w:sz w:val="24"/>
          <w:szCs w:val="24"/>
        </w:rPr>
        <w:t>est</w:t>
      </w:r>
      <w:r w:rsidR="00C720C9">
        <w:rPr>
          <w:rFonts w:ascii="Times New Roman" w:hAnsi="Times New Roman"/>
          <w:sz w:val="24"/>
          <w:szCs w:val="24"/>
        </w:rPr>
        <w:t xml:space="preserve"> cause d’un jugement</w:t>
      </w:r>
      <w:r w:rsidR="00B34FA0">
        <w:rPr>
          <w:rFonts w:ascii="Times New Roman" w:hAnsi="Times New Roman"/>
          <w:sz w:val="24"/>
          <w:szCs w:val="24"/>
        </w:rPr>
        <w:t xml:space="preserve"> </w:t>
      </w:r>
      <w:r w:rsidR="00B34FA0">
        <w:rPr>
          <w:rFonts w:ascii="Times New Roman" w:hAnsi="Times New Roman"/>
          <w:color w:val="008000"/>
        </w:rPr>
        <w:t>prononcé</w:t>
      </w:r>
      <w:r w:rsidR="00C720C9">
        <w:rPr>
          <w:rFonts w:ascii="Times New Roman" w:hAnsi="Times New Roman"/>
          <w:sz w:val="24"/>
          <w:szCs w:val="24"/>
        </w:rPr>
        <w:t xml:space="preserve"> </w:t>
      </w:r>
      <w:r w:rsidR="00C720C9" w:rsidRPr="00C720C9">
        <w:rPr>
          <w:rFonts w:ascii="Times New Roman" w:hAnsi="Times New Roman"/>
          <w:b/>
          <w:sz w:val="24"/>
          <w:szCs w:val="24"/>
        </w:rPr>
        <w:t>qui condamne</w:t>
      </w:r>
      <w:r w:rsidR="00C720C9">
        <w:rPr>
          <w:rFonts w:ascii="Times New Roman" w:hAnsi="Times New Roman"/>
          <w:b/>
          <w:sz w:val="24"/>
          <w:szCs w:val="24"/>
        </w:rPr>
        <w:t>/acquitte (inculpe/discu</w:t>
      </w:r>
      <w:r w:rsidR="00B34FA0">
        <w:rPr>
          <w:rFonts w:ascii="Times New Roman" w:hAnsi="Times New Roman"/>
          <w:b/>
          <w:sz w:val="24"/>
          <w:szCs w:val="24"/>
        </w:rPr>
        <w:t>l</w:t>
      </w:r>
      <w:r w:rsidR="00C720C9">
        <w:rPr>
          <w:rFonts w:ascii="Times New Roman" w:hAnsi="Times New Roman"/>
          <w:b/>
          <w:sz w:val="24"/>
          <w:szCs w:val="24"/>
        </w:rPr>
        <w:t xml:space="preserve">pe) </w:t>
      </w:r>
      <w:r w:rsidR="00C720C9" w:rsidRPr="00C720C9">
        <w:rPr>
          <w:rFonts w:ascii="Times New Roman" w:hAnsi="Times New Roman"/>
          <w:b/>
          <w:sz w:val="24"/>
          <w:szCs w:val="24"/>
        </w:rPr>
        <w:t>à tort</w:t>
      </w:r>
      <w:r w:rsidR="00F35651">
        <w:rPr>
          <w:rFonts w:ascii="Times New Roman" w:hAnsi="Times New Roman"/>
          <w:sz w:val="24"/>
          <w:szCs w:val="24"/>
        </w:rPr>
        <w:t xml:space="preserve">, </w:t>
      </w:r>
      <w:r w:rsidR="00B34FA0">
        <w:rPr>
          <w:rFonts w:ascii="Times New Roman" w:hAnsi="Times New Roman"/>
          <w:sz w:val="24"/>
          <w:szCs w:val="24"/>
        </w:rPr>
        <w:t>la sanction dépend de ce que l’acte résultait de l’intention ou de l’erreur</w:t>
      </w:r>
      <w:r w:rsidR="00F35651">
        <w:rPr>
          <w:rFonts w:ascii="Times New Roman" w:hAnsi="Times New Roman"/>
          <w:sz w:val="24"/>
          <w:szCs w:val="24"/>
        </w:rPr>
        <w:t xml:space="preserve"> </w:t>
      </w:r>
      <w:r w:rsidR="00F35651">
        <w:rPr>
          <w:rFonts w:ascii="Times New Roman" w:hAnsi="Times New Roman"/>
          <w:color w:val="008000"/>
        </w:rPr>
        <w:t xml:space="preserve">si </w:t>
      </w:r>
      <w:r w:rsidR="00B34FA0">
        <w:rPr>
          <w:rFonts w:ascii="Times New Roman" w:hAnsi="Times New Roman"/>
          <w:color w:val="008000"/>
        </w:rPr>
        <w:t>la citation ou l’</w:t>
      </w:r>
      <w:r w:rsidR="00CB43E7">
        <w:rPr>
          <w:rFonts w:ascii="Times New Roman" w:hAnsi="Times New Roman"/>
          <w:color w:val="008000"/>
        </w:rPr>
        <w:t xml:space="preserve"> analogie</w:t>
      </w:r>
      <w:r w:rsidR="00B34FA0">
        <w:rPr>
          <w:rFonts w:ascii="Times New Roman" w:hAnsi="Times New Roman"/>
          <w:color w:val="008000"/>
        </w:rPr>
        <w:t xml:space="preserve"> a été faite d’intention délibérée</w:t>
      </w:r>
      <w:r w:rsidR="00F35651">
        <w:rPr>
          <w:rFonts w:ascii="Times New Roman" w:hAnsi="Times New Roman"/>
          <w:color w:val="008000"/>
        </w:rPr>
        <w:t>, l</w:t>
      </w:r>
      <w:r w:rsidR="00CB43E7">
        <w:rPr>
          <w:rFonts w:ascii="Times New Roman" w:hAnsi="Times New Roman"/>
          <w:color w:val="008000"/>
        </w:rPr>
        <w:t xml:space="preserve">e juge est condamné à la peine entière, ou au degré d’aggravation ou de diminution </w:t>
      </w:r>
      <w:r w:rsidR="00B34FA0">
        <w:rPr>
          <w:rFonts w:ascii="Times New Roman" w:hAnsi="Times New Roman"/>
          <w:color w:val="008000"/>
        </w:rPr>
        <w:t xml:space="preserve">par rapport à la juste incrimination </w:t>
      </w:r>
      <w:r w:rsidR="00CB43E7">
        <w:rPr>
          <w:rFonts w:ascii="Times New Roman" w:hAnsi="Times New Roman"/>
          <w:color w:val="008000"/>
        </w:rPr>
        <w:t xml:space="preserve">qu’il a causé par sa citation inappropriée ; si </w:t>
      </w:r>
      <w:r w:rsidR="00B34FA0">
        <w:rPr>
          <w:rFonts w:ascii="Times New Roman" w:hAnsi="Times New Roman"/>
          <w:color w:val="008000"/>
        </w:rPr>
        <w:t>la citation ou l’analogie a été faite par erreur, le juge est condamné selon le degré d’aggravation ou de diminution par rapport à l’incrimination.</w:t>
      </w:r>
    </w:p>
    <w:p w14:paraId="20D6DD68" w14:textId="77777777" w:rsidR="008436B4" w:rsidRPr="008436B4" w:rsidRDefault="00FE71F6" w:rsidP="00492C4E">
      <w:pPr>
        <w:spacing w:after="0"/>
        <w:jc w:val="both"/>
        <w:rPr>
          <w:rFonts w:cs="Times New Roman"/>
          <w:lang w:val="fr-FR" w:eastAsia="fr-FR"/>
        </w:rPr>
      </w:pPr>
      <w:hyperlink r:id="rId8" w:history="1">
        <w:r w:rsidR="008436B4" w:rsidRPr="00837222">
          <w:rPr>
            <w:rFonts w:cs="Times New Roman"/>
            <w:color w:val="0000FF"/>
            <w:u w:val="single"/>
            <w:lang w:val="fr-FR" w:eastAsia="fr-FR"/>
          </w:rPr>
          <w:t>條例</w:t>
        </w:r>
        <w:r w:rsidR="008436B4" w:rsidRPr="00837222">
          <w:rPr>
            <w:rFonts w:cs="Times New Roman"/>
            <w:color w:val="0000FF"/>
            <w:u w:val="single"/>
            <w:lang w:val="fr-FR" w:eastAsia="fr-FR"/>
          </w:rPr>
          <w:t xml:space="preserve">/tiaoli 1 </w:t>
        </w:r>
      </w:hyperlink>
    </w:p>
    <w:p w14:paraId="6DF89A59" w14:textId="77777777" w:rsidR="008436B4" w:rsidRDefault="008436B4" w:rsidP="00492C4E">
      <w:pPr>
        <w:spacing w:after="0"/>
        <w:jc w:val="both"/>
        <w:rPr>
          <w:rFonts w:eastAsia="新細明體" w:cs="Times New Roman"/>
          <w:lang w:val="fr-FR" w:eastAsia="fr-FR"/>
        </w:rPr>
      </w:pPr>
      <w:r w:rsidRPr="008436B4">
        <w:rPr>
          <w:rFonts w:eastAsia="儷宋 Pro" w:cs="Times New Roman"/>
          <w:lang w:val="fr-FR" w:eastAsia="fr-FR"/>
        </w:rPr>
        <w:t>督</w:t>
      </w:r>
      <w:r w:rsidRPr="008436B4">
        <w:rPr>
          <w:rFonts w:eastAsia="Times New Roman" w:cs="Times New Roman"/>
          <w:lang w:val="fr-FR" w:eastAsia="fr-FR"/>
        </w:rPr>
        <w:t xml:space="preserve"> </w:t>
      </w:r>
      <w:r w:rsidRPr="008436B4">
        <w:rPr>
          <w:rFonts w:eastAsia="儷宋 Pro" w:cs="Times New Roman"/>
          <w:lang w:val="fr-FR" w:eastAsia="fr-FR"/>
        </w:rPr>
        <w:t>撫審擬案件</w:t>
      </w:r>
      <w:r w:rsidRPr="008436B4">
        <w:rPr>
          <w:rFonts w:eastAsia="新細明體" w:cs="Times New Roman"/>
          <w:lang w:val="fr-FR" w:eastAsia="fr-FR"/>
        </w:rPr>
        <w:t>，務須詳核情罪，畫一具題，不許輕重兩引。承問各官，徇私枉法，顛倒是非，故出、故入情弊顯然；及將死罪人犯，錯擬軍流；軍流人犯，錯擬死罪</w:t>
      </w:r>
      <w:r w:rsidRPr="008436B4">
        <w:rPr>
          <w:rFonts w:eastAsia="新細明體" w:cs="Times New Roman"/>
          <w:lang w:val="fr-FR" w:eastAsia="fr-FR"/>
        </w:rPr>
        <w:t xml:space="preserve"> </w:t>
      </w:r>
      <w:r w:rsidRPr="008436B4">
        <w:rPr>
          <w:rFonts w:eastAsia="新細明體" w:cs="Times New Roman"/>
          <w:lang w:val="fr-FR" w:eastAsia="fr-FR"/>
        </w:rPr>
        <w:t>者；仍行指名參處。至於擬罪稍輕，引律稍有未協、遺錯、過失等項，察明果非徇私，及軍流以下等罪錯擬者，免其參究，即行改正。</w:t>
      </w:r>
    </w:p>
    <w:p w14:paraId="3181C357" w14:textId="70060660" w:rsidR="003E2F70" w:rsidRPr="00053E4D" w:rsidRDefault="003E2F70" w:rsidP="00492C4E">
      <w:pPr>
        <w:spacing w:after="0"/>
        <w:jc w:val="both"/>
        <w:rPr>
          <w:rFonts w:eastAsia="新細明體" w:cs="Times New Roman"/>
          <w:lang w:val="fr-FR" w:eastAsia="fr-FR"/>
        </w:rPr>
      </w:pPr>
      <w:r>
        <w:rPr>
          <w:rFonts w:eastAsia="新細明體" w:cs="Times New Roman"/>
          <w:lang w:val="fr-FR" w:eastAsia="fr-FR"/>
        </w:rPr>
        <w:t>Quand un gouverneur de province instruit un cas, il a le devoir de vérifier les faits et la sentence, et de les coucher dans un rapport de routine au ministère des Peines. Il n’est pas autorisé à citer deux lois, l’une</w:t>
      </w:r>
      <w:r w:rsidR="00053E4D">
        <w:rPr>
          <w:rFonts w:eastAsia="新細明體" w:cs="Times New Roman"/>
          <w:lang w:val="fr-FR" w:eastAsia="fr-FR"/>
        </w:rPr>
        <w:t xml:space="preserve"> clémente et l’autre sévère. Le fonctionnaire</w:t>
      </w:r>
      <w:r>
        <w:rPr>
          <w:rFonts w:eastAsia="新細明體" w:cs="Times New Roman"/>
          <w:lang w:val="fr-FR" w:eastAsia="fr-FR"/>
        </w:rPr>
        <w:t xml:space="preserve"> exerçant des fonctions judiciaires qui tourne la loi</w:t>
      </w:r>
      <w:r>
        <w:rPr>
          <w:rStyle w:val="Marquenotebasdepage"/>
          <w:rFonts w:eastAsia="新細明體" w:cs="Times New Roman"/>
          <w:lang w:val="fr-FR" w:eastAsia="fr-FR"/>
        </w:rPr>
        <w:footnoteReference w:id="1"/>
      </w:r>
      <w:r>
        <w:rPr>
          <w:rFonts w:eastAsia="新細明體" w:cs="Times New Roman"/>
          <w:lang w:val="fr-FR" w:eastAsia="fr-FR"/>
        </w:rPr>
        <w:t xml:space="preserve"> (prévari</w:t>
      </w:r>
      <w:r w:rsidR="00053E4D">
        <w:rPr>
          <w:rFonts w:eastAsia="新細明體" w:cs="Times New Roman"/>
          <w:lang w:val="fr-FR" w:eastAsia="fr-FR"/>
        </w:rPr>
        <w:t xml:space="preserve">cation ?) par intérêt personnel, renverse, le bien et le mal, </w:t>
      </w:r>
      <w:r w:rsidR="00053E4D" w:rsidRPr="00053E4D">
        <w:rPr>
          <w:rFonts w:eastAsia="新細明體" w:cs="Times New Roman"/>
          <w:b/>
          <w:lang w:val="fr-FR" w:eastAsia="fr-FR"/>
        </w:rPr>
        <w:t xml:space="preserve">condamne/acquitte à tort </w:t>
      </w:r>
      <w:r w:rsidR="00053E4D">
        <w:rPr>
          <w:rFonts w:eastAsia="新細明體" w:cs="Times New Roman"/>
          <w:b/>
          <w:lang w:val="fr-FR" w:eastAsia="fr-FR"/>
        </w:rPr>
        <w:t xml:space="preserve">intentionnellement, </w:t>
      </w:r>
      <w:r w:rsidR="00053E4D">
        <w:rPr>
          <w:rFonts w:eastAsia="新細明體" w:cs="Times New Roman"/>
          <w:lang w:val="fr-FR" w:eastAsia="fr-FR"/>
        </w:rPr>
        <w:t xml:space="preserve">ce qui constitue autant d’abus manifestes ; </w:t>
      </w:r>
      <w:r w:rsidR="00FE71F6">
        <w:rPr>
          <w:rFonts w:eastAsia="新細明體" w:cs="Times New Roman"/>
          <w:lang w:val="fr-FR" w:eastAsia="fr-FR"/>
        </w:rPr>
        <w:t xml:space="preserve">ainsi que </w:t>
      </w:r>
      <w:r w:rsidR="00053E4D">
        <w:rPr>
          <w:rFonts w:eastAsia="新細明體" w:cs="Times New Roman"/>
          <w:lang w:val="fr-FR" w:eastAsia="fr-FR"/>
        </w:rPr>
        <w:t xml:space="preserve">celui qui condamne par négligence le coupable d’un crime capital </w:t>
      </w:r>
      <w:r w:rsidR="00496B99">
        <w:rPr>
          <w:rFonts w:eastAsia="新細明體" w:cs="Times New Roman"/>
          <w:lang w:val="fr-FR" w:eastAsia="fr-FR"/>
        </w:rPr>
        <w:t xml:space="preserve">à une peine d’exil militaire, ou l’inverse ; </w:t>
      </w:r>
      <w:r w:rsidR="00FE71F6">
        <w:rPr>
          <w:rFonts w:eastAsia="新細明體" w:cs="Times New Roman"/>
          <w:lang w:val="fr-FR" w:eastAsia="fr-FR"/>
        </w:rPr>
        <w:t>le magistrat fautif</w:t>
      </w:r>
      <w:r w:rsidR="00496B99">
        <w:rPr>
          <w:rFonts w:eastAsia="新細明體" w:cs="Times New Roman"/>
          <w:lang w:val="fr-FR" w:eastAsia="fr-FR"/>
        </w:rPr>
        <w:t xml:space="preserve"> doit être nommément désigné pour une enquête administrative suivie de sanctions. S’il </w:t>
      </w:r>
      <w:r w:rsidR="00FE71F6">
        <w:rPr>
          <w:rFonts w:eastAsia="新細明體" w:cs="Times New Roman"/>
          <w:lang w:val="fr-FR" w:eastAsia="fr-FR"/>
        </w:rPr>
        <w:t>n’a fait que prononcer</w:t>
      </w:r>
      <w:r w:rsidR="00496B99">
        <w:rPr>
          <w:rFonts w:eastAsia="新細明體" w:cs="Times New Roman"/>
          <w:lang w:val="fr-FR" w:eastAsia="fr-FR"/>
        </w:rPr>
        <w:t xml:space="preserve"> une sentence un peu trop clémente, ou </w:t>
      </w:r>
      <w:r w:rsidR="00FE71F6">
        <w:rPr>
          <w:rFonts w:eastAsia="新細明體" w:cs="Times New Roman"/>
          <w:lang w:val="fr-FR" w:eastAsia="fr-FR"/>
        </w:rPr>
        <w:t xml:space="preserve">que citer une loi quelque peu inadaptée, s’il n’a commis que </w:t>
      </w:r>
      <w:r w:rsidR="00496B99">
        <w:rPr>
          <w:rFonts w:eastAsia="新細明體" w:cs="Times New Roman"/>
          <w:lang w:val="fr-FR" w:eastAsia="fr-FR"/>
        </w:rPr>
        <w:t xml:space="preserve">des négligences, ou des erreurs, mais qu’il apparaît clairement à l’examen qu’il n’y a pas eu </w:t>
      </w:r>
      <w:r w:rsidR="00496B99">
        <w:rPr>
          <w:rFonts w:eastAsia="新細明體" w:cs="Times New Roman"/>
          <w:lang w:val="fr-FR" w:eastAsia="fr-FR"/>
        </w:rPr>
        <w:lastRenderedPageBreak/>
        <w:t>recherche d’intérêt personnel, ou si l’erreur n’a eu pour conséquence que la condamnation à une peine inférieure à l’exil m</w:t>
      </w:r>
      <w:r w:rsidR="00515413">
        <w:rPr>
          <w:rFonts w:eastAsia="新細明體" w:cs="Times New Roman"/>
          <w:lang w:val="fr-FR" w:eastAsia="fr-FR"/>
        </w:rPr>
        <w:t>ilitaire, le fonctionnaire n’est pas soumis à enquête, mais il doit immédiatement se corriger.</w:t>
      </w:r>
      <w:r w:rsidR="00496B99">
        <w:rPr>
          <w:rFonts w:eastAsia="新細明體" w:cs="Times New Roman"/>
          <w:lang w:val="fr-FR" w:eastAsia="fr-FR"/>
        </w:rPr>
        <w:t xml:space="preserve"> </w:t>
      </w:r>
    </w:p>
    <w:p w14:paraId="754631AE" w14:textId="77777777" w:rsidR="008436B4" w:rsidRPr="00837222" w:rsidRDefault="008436B4" w:rsidP="00492C4E">
      <w:pPr>
        <w:spacing w:after="0"/>
        <w:jc w:val="both"/>
        <w:rPr>
          <w:rFonts w:eastAsia="新細明體" w:cs="Times New Roman"/>
          <w:lang w:val="fr-FR" w:eastAsia="fr-FR"/>
        </w:rPr>
      </w:pPr>
    </w:p>
    <w:p w14:paraId="20ECC90A" w14:textId="3AFDD0E6" w:rsidR="008436B4" w:rsidRPr="008436B4" w:rsidRDefault="00FE71F6" w:rsidP="00492C4E">
      <w:pPr>
        <w:spacing w:after="0"/>
        <w:jc w:val="both"/>
        <w:rPr>
          <w:rFonts w:cs="Times New Roman"/>
          <w:lang w:val="fr-FR" w:eastAsia="fr-FR"/>
        </w:rPr>
      </w:pPr>
      <w:hyperlink r:id="rId9" w:history="1">
        <w:r w:rsidR="008436B4" w:rsidRPr="00837222">
          <w:rPr>
            <w:rFonts w:cs="Times New Roman"/>
            <w:color w:val="0000FF"/>
            <w:u w:val="single"/>
            <w:lang w:val="fr-FR" w:eastAsia="fr-FR"/>
          </w:rPr>
          <w:t>條例</w:t>
        </w:r>
        <w:r w:rsidR="008436B4" w:rsidRPr="00837222">
          <w:rPr>
            <w:rFonts w:cs="Times New Roman"/>
            <w:color w:val="0000FF"/>
            <w:u w:val="single"/>
            <w:lang w:val="fr-FR" w:eastAsia="fr-FR"/>
          </w:rPr>
          <w:t xml:space="preserve">/tiaoli 2 </w:t>
        </w:r>
      </w:hyperlink>
      <w:r w:rsidR="0018021D">
        <w:rPr>
          <w:rStyle w:val="Marquenotebasdepage"/>
          <w:rFonts w:cs="Times New Roman"/>
          <w:color w:val="0000FF"/>
          <w:u w:val="single"/>
          <w:lang w:val="fr-FR" w:eastAsia="fr-FR"/>
        </w:rPr>
        <w:footnoteReference w:id="2"/>
      </w:r>
    </w:p>
    <w:p w14:paraId="36E93C9B" w14:textId="77777777" w:rsidR="008436B4" w:rsidRPr="00837222" w:rsidRDefault="008436B4" w:rsidP="00492C4E">
      <w:pPr>
        <w:spacing w:after="0"/>
        <w:jc w:val="both"/>
        <w:rPr>
          <w:rFonts w:eastAsia="新細明體" w:cs="Times New Roman"/>
          <w:lang w:val="fr-FR" w:eastAsia="fr-FR"/>
        </w:rPr>
      </w:pPr>
      <w:r w:rsidRPr="008436B4">
        <w:rPr>
          <w:rFonts w:eastAsia="新細明體" w:cs="Times New Roman"/>
          <w:lang w:val="fr-FR" w:eastAsia="fr-FR"/>
        </w:rPr>
        <w:t>承問各官，審明定案，務須援引一定律例。若先引一例，復云不便照此例治罪，更引重例，及加「情罪可惡」字樣，坐人罪者，以故入人罪論。</w:t>
      </w:r>
    </w:p>
    <w:p w14:paraId="2CC6D416" w14:textId="212556CB" w:rsidR="008436B4" w:rsidRDefault="00D417AD" w:rsidP="00492C4E">
      <w:pPr>
        <w:spacing w:after="0"/>
        <w:jc w:val="both"/>
        <w:rPr>
          <w:rFonts w:eastAsia="新細明體" w:cs="Times New Roman"/>
          <w:lang w:val="fr-FR" w:eastAsia="fr-FR"/>
        </w:rPr>
      </w:pPr>
      <w:r>
        <w:rPr>
          <w:rFonts w:eastAsia="新細明體" w:cs="Times New Roman"/>
          <w:lang w:val="fr-FR" w:eastAsia="fr-FR"/>
        </w:rPr>
        <w:t xml:space="preserve">Tout magistrat en charge des interrogatoires lorsqu’il instruit une affaire ne doit citer qu’un seul </w:t>
      </w:r>
      <w:r w:rsidR="0018021D">
        <w:rPr>
          <w:rFonts w:eastAsia="新細明體" w:cs="Times New Roman"/>
          <w:lang w:val="fr-FR" w:eastAsia="fr-FR"/>
        </w:rPr>
        <w:t xml:space="preserve">article ou article complémentaire. S’il commence par citer un article complémentaire, puis revenant sur ce choix dit qu’il ne convient pas de prononcer </w:t>
      </w:r>
      <w:r w:rsidR="0018021D" w:rsidRPr="00FE71F6">
        <w:rPr>
          <w:rFonts w:eastAsia="新細明體" w:cs="Times New Roman"/>
          <w:b/>
          <w:lang w:val="fr-FR" w:eastAsia="fr-FR"/>
        </w:rPr>
        <w:t>la sentence en référenc</w:t>
      </w:r>
      <w:r w:rsidR="00AF1BAA" w:rsidRPr="00FE71F6">
        <w:rPr>
          <w:rFonts w:eastAsia="新細明體" w:cs="Times New Roman"/>
          <w:b/>
          <w:lang w:val="fr-FR" w:eastAsia="fr-FR"/>
        </w:rPr>
        <w:t>e</w:t>
      </w:r>
      <w:r w:rsidR="00FE71F6">
        <w:rPr>
          <w:rFonts w:eastAsia="新細明體" w:cs="Times New Roman"/>
          <w:b/>
          <w:lang w:val="fr-FR" w:eastAsia="fr-FR"/>
        </w:rPr>
        <w:t xml:space="preserve"> </w:t>
      </w:r>
      <w:r w:rsidR="00FE71F6" w:rsidRPr="008436B4">
        <w:rPr>
          <w:rFonts w:eastAsia="新細明體" w:cs="Times New Roman"/>
          <w:lang w:val="fr-FR" w:eastAsia="fr-FR"/>
        </w:rPr>
        <w:t>照</w:t>
      </w:r>
      <w:r w:rsidR="00AF1BAA">
        <w:rPr>
          <w:rFonts w:eastAsia="新細明體" w:cs="Times New Roman"/>
          <w:lang w:val="fr-FR" w:eastAsia="fr-FR"/>
        </w:rPr>
        <w:t xml:space="preserve"> à cet article, et cite </w:t>
      </w:r>
      <w:r w:rsidR="0018021D">
        <w:rPr>
          <w:rFonts w:eastAsia="新細明體" w:cs="Times New Roman"/>
          <w:lang w:val="fr-FR" w:eastAsia="fr-FR"/>
        </w:rPr>
        <w:t xml:space="preserve">un autre article complémentaire plus grave, ou ajoute </w:t>
      </w:r>
      <w:r w:rsidR="00AF1BAA">
        <w:rPr>
          <w:rFonts w:eastAsia="新細明體" w:cs="Times New Roman"/>
          <w:lang w:val="fr-FR" w:eastAsia="fr-FR"/>
        </w:rPr>
        <w:t>une expression</w:t>
      </w:r>
      <w:r w:rsidR="0018021D">
        <w:rPr>
          <w:rFonts w:eastAsia="新細明體" w:cs="Times New Roman"/>
          <w:lang w:val="fr-FR" w:eastAsia="fr-FR"/>
        </w:rPr>
        <w:t xml:space="preserve"> du genre «  </w:t>
      </w:r>
      <w:r w:rsidR="00AF1BAA">
        <w:rPr>
          <w:rFonts w:eastAsia="新細明體" w:cs="Times New Roman"/>
          <w:lang w:val="fr-FR" w:eastAsia="fr-FR"/>
        </w:rPr>
        <w:t xml:space="preserve">ces </w:t>
      </w:r>
      <w:r w:rsidR="0018021D">
        <w:rPr>
          <w:rFonts w:eastAsia="新細明體" w:cs="Times New Roman"/>
          <w:lang w:val="fr-FR" w:eastAsia="fr-FR"/>
        </w:rPr>
        <w:t>circonstances qui rendent ce crime haïssable » afin</w:t>
      </w:r>
      <w:r w:rsidR="00AF1BAA">
        <w:rPr>
          <w:rFonts w:eastAsia="新細明體" w:cs="Times New Roman"/>
          <w:lang w:val="fr-FR" w:eastAsia="fr-FR"/>
        </w:rPr>
        <w:t xml:space="preserve"> d’incriminer </w:t>
      </w:r>
      <w:r w:rsidR="00AF1BAA" w:rsidRPr="00AF1BAA">
        <w:rPr>
          <w:rFonts w:eastAsia="新細明體" w:cs="Times New Roman"/>
          <w:b/>
          <w:lang w:val="fr-FR" w:eastAsia="fr-FR"/>
        </w:rPr>
        <w:t>plus gravement</w:t>
      </w:r>
      <w:r w:rsidR="00AF1BAA">
        <w:rPr>
          <w:rFonts w:eastAsia="新細明體" w:cs="Times New Roman"/>
          <w:lang w:val="fr-FR" w:eastAsia="fr-FR"/>
        </w:rPr>
        <w:t>, il se rend coupable de « condamner/acquitter à tort avec intention ».</w:t>
      </w:r>
    </w:p>
    <w:p w14:paraId="4F41E31F" w14:textId="77777777" w:rsidR="00AF1BAA" w:rsidRPr="00837222" w:rsidRDefault="00AF1BAA" w:rsidP="00492C4E">
      <w:pPr>
        <w:spacing w:after="0"/>
        <w:jc w:val="both"/>
        <w:rPr>
          <w:rFonts w:eastAsia="新細明體" w:cs="Times New Roman"/>
          <w:lang w:val="fr-FR" w:eastAsia="fr-FR"/>
        </w:rPr>
      </w:pPr>
    </w:p>
    <w:p w14:paraId="62C3184C" w14:textId="77777777" w:rsidR="008436B4" w:rsidRPr="00837222" w:rsidRDefault="00FE71F6" w:rsidP="00492C4E">
      <w:pPr>
        <w:jc w:val="both"/>
        <w:rPr>
          <w:rFonts w:eastAsia="新細明體" w:cs="Times New Roman"/>
          <w:lang w:val="fr-FR" w:eastAsia="fr-FR"/>
        </w:rPr>
      </w:pPr>
      <w:hyperlink r:id="rId10" w:history="1">
        <w:r w:rsidR="008436B4" w:rsidRPr="00837222">
          <w:rPr>
            <w:rFonts w:eastAsia="新細明體" w:cs="Times New Roman"/>
            <w:color w:val="0000FF"/>
            <w:u w:val="single"/>
            <w:lang w:val="fr-FR" w:eastAsia="fr-FR"/>
          </w:rPr>
          <w:t>條例</w:t>
        </w:r>
        <w:r w:rsidR="008436B4" w:rsidRPr="00837222">
          <w:rPr>
            <w:rFonts w:eastAsia="新細明體" w:cs="Times New Roman"/>
            <w:color w:val="0000FF"/>
            <w:u w:val="single"/>
            <w:lang w:val="fr-FR" w:eastAsia="fr-FR"/>
          </w:rPr>
          <w:t xml:space="preserve">/tiaoli 3 </w:t>
        </w:r>
      </w:hyperlink>
    </w:p>
    <w:p w14:paraId="7188004F" w14:textId="77777777" w:rsidR="008436B4" w:rsidRDefault="008436B4" w:rsidP="00492C4E">
      <w:pPr>
        <w:jc w:val="both"/>
        <w:rPr>
          <w:rFonts w:eastAsia="新細明體" w:cs="Times New Roman"/>
          <w:lang w:val="fr-FR" w:eastAsia="fr-FR"/>
        </w:rPr>
      </w:pPr>
      <w:r w:rsidRPr="00837222">
        <w:rPr>
          <w:rFonts w:eastAsia="新細明體" w:cs="Times New Roman"/>
          <w:lang w:val="fr-FR" w:eastAsia="fr-FR"/>
        </w:rPr>
        <w:t>例載比照光棍條欵，仍照例斟酌定擬外，其餘情罪相仿，尚非實在光棍者，不得一概照光棍例定擬。</w:t>
      </w:r>
    </w:p>
    <w:p w14:paraId="6900B7BB" w14:textId="34D449C7" w:rsidR="00AF1BAA" w:rsidRPr="002E466C" w:rsidRDefault="002E466C" w:rsidP="00492C4E">
      <w:pPr>
        <w:jc w:val="both"/>
        <w:rPr>
          <w:rFonts w:eastAsia="新細明體" w:cs="Times New Roman"/>
          <w:lang w:val="fr-FR"/>
        </w:rPr>
      </w:pPr>
      <w:r>
        <w:rPr>
          <w:rFonts w:eastAsia="新細明體" w:cs="Times New Roman"/>
          <w:lang w:val="fr-FR" w:eastAsia="fr-FR"/>
        </w:rPr>
        <w:t xml:space="preserve">parmi les articles complémentaires, l’un d’entre eux </w:t>
      </w:r>
      <w:r w:rsidRPr="002E466C">
        <w:rPr>
          <w:rFonts w:eastAsia="新細明體" w:cs="Times New Roman"/>
          <w:b/>
          <w:lang w:val="fr-FR" w:eastAsia="fr-FR"/>
        </w:rPr>
        <w:t>fait référence</w:t>
      </w:r>
      <w:r>
        <w:rPr>
          <w:rFonts w:eastAsia="新細明體" w:cs="Times New Roman"/>
          <w:lang w:val="fr-FR" w:eastAsia="fr-FR"/>
        </w:rPr>
        <w:t xml:space="preserve"> aux </w:t>
      </w:r>
      <w:r>
        <w:rPr>
          <w:rFonts w:eastAsia="新細明體" w:cs="Times New Roman"/>
          <w:b/>
          <w:lang w:val="fr-FR" w:eastAsia="fr-FR"/>
        </w:rPr>
        <w:t>malandrins</w:t>
      </w:r>
      <w:r w:rsidR="00FE71F6">
        <w:rPr>
          <w:rFonts w:eastAsia="新細明體" w:cs="Times New Roman"/>
          <w:b/>
          <w:lang w:val="fr-FR" w:eastAsia="fr-FR"/>
        </w:rPr>
        <w:t xml:space="preserve">  </w:t>
      </w:r>
      <w:r w:rsidR="00FE71F6" w:rsidRPr="00837222">
        <w:rPr>
          <w:rFonts w:eastAsia="新細明體" w:cs="Times New Roman"/>
          <w:lang w:val="fr-FR" w:eastAsia="fr-FR"/>
        </w:rPr>
        <w:t>光棍</w:t>
      </w:r>
      <w:r>
        <w:rPr>
          <w:rFonts w:eastAsia="新細明體" w:cs="Times New Roman"/>
          <w:b/>
          <w:lang w:val="fr-FR" w:eastAsia="fr-FR"/>
        </w:rPr>
        <w:t xml:space="preserve">, </w:t>
      </w:r>
      <w:r w:rsidRPr="002E466C">
        <w:rPr>
          <w:rFonts w:eastAsia="新細明體" w:cs="Times New Roman"/>
          <w:lang w:val="fr-FR" w:eastAsia="fr-FR"/>
        </w:rPr>
        <w:t>aussi,</w:t>
      </w:r>
      <w:r>
        <w:rPr>
          <w:rFonts w:eastAsia="新細明體" w:cs="Times New Roman"/>
          <w:b/>
          <w:lang w:val="fr-FR" w:eastAsia="fr-FR"/>
        </w:rPr>
        <w:t xml:space="preserve"> </w:t>
      </w:r>
      <w:r w:rsidRPr="002E466C">
        <w:rPr>
          <w:rFonts w:eastAsia="新細明體" w:cs="Times New Roman"/>
          <w:lang w:val="fr-FR" w:eastAsia="fr-FR"/>
        </w:rPr>
        <w:t xml:space="preserve">mis à part </w:t>
      </w:r>
      <w:r>
        <w:rPr>
          <w:rFonts w:eastAsia="新細明體" w:cs="Times New Roman"/>
          <w:lang w:val="fr-FR" w:eastAsia="fr-FR"/>
        </w:rPr>
        <w:t xml:space="preserve">ceux qui doivent être arrêtés, interrogés, et </w:t>
      </w:r>
      <w:r w:rsidR="00FE71F6">
        <w:rPr>
          <w:rFonts w:eastAsia="新細明體" w:cs="Times New Roman"/>
          <w:b/>
          <w:lang w:val="fr-FR" w:eastAsia="fr-FR"/>
        </w:rPr>
        <w:t>mis en accusation par référence à</w:t>
      </w:r>
      <w:r w:rsidR="00FE71F6">
        <w:rPr>
          <w:rFonts w:eastAsia="新細明體" w:cs="Times New Roman"/>
          <w:lang w:val="fr-FR" w:eastAsia="fr-FR"/>
        </w:rPr>
        <w:t xml:space="preserve"> </w:t>
      </w:r>
      <w:r>
        <w:rPr>
          <w:rFonts w:eastAsia="新細明體" w:cs="Times New Roman"/>
          <w:lang w:val="fr-FR" w:eastAsia="fr-FR"/>
        </w:rPr>
        <w:t xml:space="preserve">ce crime, les autres qui ont commis des actes apparemment similaires mais qui ne sont pas en fait des </w:t>
      </w:r>
      <w:r>
        <w:rPr>
          <w:rFonts w:eastAsia="新細明體" w:cs="Times New Roman"/>
          <w:i/>
          <w:lang w:val="fr-FR" w:eastAsia="fr-FR"/>
        </w:rPr>
        <w:t>guangun</w:t>
      </w:r>
      <w:r>
        <w:rPr>
          <w:rFonts w:eastAsia="新細明體" w:cs="Times New Roman" w:hint="eastAsia"/>
          <w:lang w:val="fr-FR"/>
        </w:rPr>
        <w:t xml:space="preserve"> </w:t>
      </w:r>
      <w:r>
        <w:rPr>
          <w:rFonts w:eastAsia="新細明體" w:cs="Times New Roman"/>
          <w:lang w:val="fr-FR"/>
        </w:rPr>
        <w:t xml:space="preserve">avérés ( ?), ne doivent pas </w:t>
      </w:r>
      <w:r w:rsidR="00FE71F6">
        <w:rPr>
          <w:rFonts w:eastAsia="新細明體" w:cs="Times New Roman"/>
          <w:lang w:val="fr-FR"/>
        </w:rPr>
        <w:t xml:space="preserve">être unilatéralement </w:t>
      </w:r>
      <w:r w:rsidR="00FE71F6" w:rsidRPr="00FE71F6">
        <w:rPr>
          <w:rFonts w:eastAsia="新細明體" w:cs="Times New Roman"/>
          <w:b/>
          <w:lang w:val="fr-FR"/>
        </w:rPr>
        <w:t>mis en accusation en référence à cet article</w:t>
      </w:r>
      <w:r>
        <w:rPr>
          <w:rFonts w:eastAsia="新細明體" w:cs="Times New Roman"/>
          <w:lang w:val="fr-FR"/>
        </w:rPr>
        <w:t>.</w:t>
      </w:r>
    </w:p>
    <w:p w14:paraId="0980DBB3" w14:textId="77777777" w:rsidR="008436B4" w:rsidRPr="008436B4" w:rsidRDefault="00FE71F6" w:rsidP="00492C4E">
      <w:pPr>
        <w:spacing w:after="0"/>
        <w:jc w:val="both"/>
        <w:rPr>
          <w:rFonts w:eastAsia="新細明體" w:cs="Times New Roman"/>
          <w:lang w:val="fr-FR" w:eastAsia="fr-FR"/>
        </w:rPr>
      </w:pPr>
      <w:hyperlink r:id="rId11" w:history="1">
        <w:r w:rsidR="008436B4" w:rsidRPr="00837222">
          <w:rPr>
            <w:rFonts w:eastAsia="新細明體" w:cs="Times New Roman"/>
            <w:color w:val="0000FF"/>
            <w:u w:val="single"/>
            <w:lang w:val="fr-FR" w:eastAsia="fr-FR"/>
          </w:rPr>
          <w:t>條例</w:t>
        </w:r>
        <w:r w:rsidR="008436B4" w:rsidRPr="00837222">
          <w:rPr>
            <w:rFonts w:eastAsia="新細明體" w:cs="Times New Roman"/>
            <w:color w:val="0000FF"/>
            <w:u w:val="single"/>
            <w:lang w:val="fr-FR" w:eastAsia="fr-FR"/>
          </w:rPr>
          <w:t xml:space="preserve">/tiaoli 4 </w:t>
        </w:r>
      </w:hyperlink>
    </w:p>
    <w:p w14:paraId="2F792564" w14:textId="77777777" w:rsidR="008436B4" w:rsidRPr="008436B4" w:rsidRDefault="008436B4" w:rsidP="00492C4E">
      <w:pPr>
        <w:spacing w:after="0"/>
        <w:jc w:val="both"/>
        <w:rPr>
          <w:rFonts w:eastAsia="新細明體" w:cs="Times New Roman"/>
          <w:lang w:val="fr-FR" w:eastAsia="fr-FR"/>
        </w:rPr>
      </w:pPr>
      <w:r w:rsidRPr="008436B4">
        <w:rPr>
          <w:rFonts w:eastAsia="新細明體" w:cs="Times New Roman"/>
          <w:lang w:val="fr-FR" w:eastAsia="fr-FR"/>
        </w:rPr>
        <w:t>除正律、正例而外，凡屬成案，未經通行著為定例，一概嚴禁，毋得混行牽引，致罪有出入。如督撫辦理案件，果有與舊案相合，可援為例者，許於本內聲明，刑部詳加查核，附請著為定例。</w:t>
      </w:r>
    </w:p>
    <w:p w14:paraId="1BB30C43" w14:textId="1E622980" w:rsidR="008436B4" w:rsidRPr="00275D2C" w:rsidRDefault="002E466C" w:rsidP="00275D2C">
      <w:pPr>
        <w:jc w:val="both"/>
        <w:rPr>
          <w:rFonts w:eastAsia="新細明體" w:cs="Times New Roman"/>
          <w:lang w:val="fr-FR" w:eastAsia="fr-FR"/>
        </w:rPr>
      </w:pPr>
      <w:r>
        <w:rPr>
          <w:rFonts w:eastAsia="新細明體" w:cs="Times New Roman"/>
          <w:lang w:val="fr-FR" w:eastAsia="fr-FR"/>
        </w:rPr>
        <w:t>Mis à part les articles et les articles complémentaires dûment codifiés,  toute</w:t>
      </w:r>
      <w:r w:rsidR="00C83361">
        <w:rPr>
          <w:rFonts w:eastAsia="新細明體" w:cs="Times New Roman"/>
          <w:lang w:val="fr-FR" w:eastAsia="fr-FR"/>
        </w:rPr>
        <w:t>s les</w:t>
      </w:r>
      <w:r>
        <w:rPr>
          <w:rFonts w:eastAsia="新細明體" w:cs="Times New Roman"/>
          <w:lang w:val="fr-FR" w:eastAsia="fr-FR"/>
        </w:rPr>
        <w:t xml:space="preserve"> décision</w:t>
      </w:r>
      <w:r w:rsidR="00C83361">
        <w:rPr>
          <w:rFonts w:eastAsia="新細明體" w:cs="Times New Roman"/>
          <w:lang w:val="fr-FR" w:eastAsia="fr-FR"/>
        </w:rPr>
        <w:t>s</w:t>
      </w:r>
      <w:r>
        <w:rPr>
          <w:rFonts w:eastAsia="新細明體" w:cs="Times New Roman"/>
          <w:lang w:val="fr-FR" w:eastAsia="fr-FR"/>
        </w:rPr>
        <w:t xml:space="preserve"> entrant dans la catégorie </w:t>
      </w:r>
      <w:r w:rsidRPr="00C83361">
        <w:rPr>
          <w:rFonts w:eastAsia="新細明體" w:cs="Times New Roman"/>
          <w:b/>
          <w:lang w:val="fr-FR" w:eastAsia="fr-FR"/>
        </w:rPr>
        <w:t>des « cas jugés »</w:t>
      </w:r>
      <w:r>
        <w:rPr>
          <w:rFonts w:eastAsia="新細明體" w:cs="Times New Roman"/>
          <w:lang w:val="fr-FR" w:eastAsia="fr-FR"/>
        </w:rPr>
        <w:t xml:space="preserve"> </w:t>
      </w:r>
      <w:r w:rsidR="00C83361">
        <w:rPr>
          <w:rFonts w:eastAsia="新細明體" w:cs="Times New Roman"/>
          <w:lang w:val="fr-FR" w:eastAsia="fr-FR"/>
        </w:rPr>
        <w:t xml:space="preserve">qui n’ont pas encore été mises en circulation pour </w:t>
      </w:r>
      <w:r w:rsidR="00134F56">
        <w:rPr>
          <w:rFonts w:eastAsia="新細明體" w:cs="Times New Roman"/>
          <w:lang w:val="fr-FR" w:eastAsia="fr-FR"/>
        </w:rPr>
        <w:t xml:space="preserve">devenir </w:t>
      </w:r>
      <w:r w:rsidR="00134F56" w:rsidRPr="00134F56">
        <w:rPr>
          <w:rFonts w:eastAsia="新細明體" w:cs="Times New Roman"/>
          <w:b/>
          <w:lang w:val="fr-FR" w:eastAsia="fr-FR"/>
        </w:rPr>
        <w:t>des précédents établis</w:t>
      </w:r>
      <w:r w:rsidR="00C83361">
        <w:rPr>
          <w:rFonts w:eastAsia="新細明體" w:cs="Times New Roman"/>
          <w:lang w:val="fr-FR" w:eastAsia="fr-FR"/>
        </w:rPr>
        <w:t xml:space="preserve">, tombent sous le coup d’une interdiction formelle, elles de doivent en aucun cas servir à impliquer des gens, ni à fonder des sentences qui seraient des condamnations/acquittements à tort. Si un gouverneur lorsqu’il arrange les cas de sa province est amené à faire des comparaisons avec </w:t>
      </w:r>
      <w:r w:rsidR="00AC3C64">
        <w:rPr>
          <w:rFonts w:eastAsia="新細明體" w:cs="Times New Roman"/>
          <w:lang w:val="fr-FR" w:eastAsia="fr-FR"/>
        </w:rPr>
        <w:t>un cas ancien</w:t>
      </w:r>
      <w:r w:rsidR="00C83361">
        <w:rPr>
          <w:rFonts w:eastAsia="新細明體" w:cs="Times New Roman"/>
          <w:lang w:val="fr-FR" w:eastAsia="fr-FR"/>
        </w:rPr>
        <w:t xml:space="preserve">, il </w:t>
      </w:r>
      <w:r w:rsidR="00AC3C64">
        <w:rPr>
          <w:rFonts w:eastAsia="新細明體" w:cs="Times New Roman"/>
          <w:lang w:val="fr-FR" w:eastAsia="fr-FR"/>
        </w:rPr>
        <w:t xml:space="preserve">peut prendre </w:t>
      </w:r>
      <w:r w:rsidR="00C83361">
        <w:rPr>
          <w:rFonts w:eastAsia="新細明體" w:cs="Times New Roman"/>
          <w:lang w:val="fr-FR" w:eastAsia="fr-FR"/>
        </w:rPr>
        <w:t xml:space="preserve"> </w:t>
      </w:r>
      <w:r w:rsidR="00AC3C64">
        <w:rPr>
          <w:rFonts w:eastAsia="新細明體" w:cs="Times New Roman"/>
          <w:lang w:val="fr-FR" w:eastAsia="fr-FR"/>
        </w:rPr>
        <w:t>ce dernier pour règle</w:t>
      </w:r>
      <w:r w:rsidR="00C83361">
        <w:rPr>
          <w:rFonts w:eastAsia="新細明體" w:cs="Times New Roman"/>
          <w:lang w:val="fr-FR" w:eastAsia="fr-FR"/>
        </w:rPr>
        <w:t xml:space="preserve">, </w:t>
      </w:r>
      <w:r w:rsidR="00AC3C64">
        <w:rPr>
          <w:rFonts w:eastAsia="新細明體" w:cs="Times New Roman"/>
          <w:lang w:val="fr-FR" w:eastAsia="fr-FR"/>
        </w:rPr>
        <w:t xml:space="preserve">pourvu qu’il l’indique clairement dans le texte </w:t>
      </w:r>
      <w:r w:rsidR="00134F56">
        <w:rPr>
          <w:rFonts w:eastAsia="新細明體" w:cs="Times New Roman"/>
          <w:lang w:val="fr-FR" w:eastAsia="fr-FR"/>
        </w:rPr>
        <w:t>afin</w:t>
      </w:r>
      <w:r w:rsidR="00AC3C64">
        <w:rPr>
          <w:rFonts w:eastAsia="新細明體" w:cs="Times New Roman"/>
          <w:lang w:val="fr-FR" w:eastAsia="fr-FR"/>
        </w:rPr>
        <w:t xml:space="preserve"> que le  ministère des Peines  puisse vérifier avec grand soin,  et il joint en annexe la demande que ce cas devienne un </w:t>
      </w:r>
      <w:r w:rsidR="00AC3C64" w:rsidRPr="00AC3C64">
        <w:rPr>
          <w:rFonts w:eastAsia="新細明體" w:cs="Times New Roman"/>
          <w:b/>
          <w:lang w:val="fr-FR" w:eastAsia="fr-FR"/>
        </w:rPr>
        <w:t>précédent établi</w:t>
      </w:r>
      <w:r w:rsidR="001E7753">
        <w:rPr>
          <w:rFonts w:eastAsia="新細明體" w:cs="Times New Roman"/>
          <w:b/>
          <w:lang w:val="fr-FR" w:eastAsia="fr-FR"/>
        </w:rPr>
        <w:t xml:space="preserve"> (ou article complémentaire ?)</w:t>
      </w:r>
      <w:r w:rsidR="00AC3C64" w:rsidRPr="00AC3C64">
        <w:rPr>
          <w:rFonts w:eastAsia="新細明體" w:cs="Times New Roman"/>
          <w:b/>
          <w:lang w:val="fr-FR" w:eastAsia="fr-FR"/>
        </w:rPr>
        <w:t>.</w:t>
      </w:r>
    </w:p>
    <w:p w14:paraId="3EEA3025" w14:textId="77777777" w:rsidR="008436B4" w:rsidRPr="008436B4" w:rsidRDefault="008436B4" w:rsidP="00492C4E">
      <w:pPr>
        <w:spacing w:after="0"/>
        <w:jc w:val="both"/>
        <w:rPr>
          <w:rFonts w:eastAsia="Times New Roman" w:cs="Times New Roman"/>
          <w:sz w:val="20"/>
          <w:szCs w:val="20"/>
          <w:lang w:val="fr-FR" w:eastAsia="fr-FR"/>
        </w:rPr>
      </w:pPr>
    </w:p>
    <w:p w14:paraId="3945DD90" w14:textId="77777777" w:rsidR="008436B4" w:rsidRPr="008436B4" w:rsidRDefault="008436B4" w:rsidP="00492C4E">
      <w:pPr>
        <w:spacing w:after="0"/>
        <w:jc w:val="both"/>
        <w:rPr>
          <w:rFonts w:eastAsia="Times New Roman" w:cs="Times New Roman"/>
          <w:sz w:val="20"/>
          <w:szCs w:val="20"/>
          <w:lang w:val="fr-FR" w:eastAsia="fr-FR"/>
        </w:rPr>
      </w:pPr>
    </w:p>
    <w:p w14:paraId="6596F45C" w14:textId="77777777" w:rsidR="00837222" w:rsidRPr="00837222" w:rsidRDefault="00837222" w:rsidP="00492C4E">
      <w:pPr>
        <w:spacing w:after="0"/>
        <w:jc w:val="both"/>
        <w:rPr>
          <w:rFonts w:cs="Times New Roman"/>
          <w:sz w:val="20"/>
          <w:szCs w:val="20"/>
          <w:lang w:val="fr-FR" w:eastAsia="fr-FR"/>
        </w:rPr>
      </w:pPr>
      <w:r w:rsidRPr="00837222">
        <w:rPr>
          <w:rFonts w:cs="Times New Roman"/>
          <w:sz w:val="20"/>
          <w:szCs w:val="20"/>
          <w:lang w:val="fr-FR" w:eastAsia="fr-FR"/>
        </w:rPr>
        <w:t>.</w:t>
      </w:r>
    </w:p>
    <w:p w14:paraId="6B296514" w14:textId="77777777" w:rsidR="00837222" w:rsidRPr="00837222" w:rsidRDefault="00FE71F6" w:rsidP="00492C4E">
      <w:pPr>
        <w:spacing w:after="0"/>
        <w:jc w:val="both"/>
        <w:rPr>
          <w:rFonts w:cs="Times New Roman"/>
          <w:b/>
          <w:lang w:val="fr-FR" w:eastAsia="fr-FR"/>
        </w:rPr>
      </w:pPr>
      <w:hyperlink r:id="rId12" w:history="1">
        <w:r w:rsidR="00837222" w:rsidRPr="00837222">
          <w:rPr>
            <w:rFonts w:cs="Times New Roman"/>
            <w:b/>
            <w:color w:val="0000FF"/>
            <w:u w:val="single"/>
            <w:lang w:val="fr-FR" w:eastAsia="fr-FR"/>
          </w:rPr>
          <w:t>律</w:t>
        </w:r>
        <w:r w:rsidR="00837222" w:rsidRPr="00837222">
          <w:rPr>
            <w:rFonts w:cs="Times New Roman"/>
            <w:b/>
            <w:color w:val="0000FF"/>
            <w:u w:val="single"/>
            <w:lang w:val="fr-FR" w:eastAsia="fr-FR"/>
          </w:rPr>
          <w:t xml:space="preserve">/lü 43 | Duanzui yi xinban Lü </w:t>
        </w:r>
        <w:r w:rsidR="00837222" w:rsidRPr="00837222">
          <w:rPr>
            <w:rFonts w:cs="Times New Roman"/>
            <w:b/>
            <w:color w:val="0000FF"/>
            <w:u w:val="single"/>
            <w:lang w:val="fr-FR" w:eastAsia="fr-FR"/>
          </w:rPr>
          <w:t>斷罪依新頒律</w:t>
        </w:r>
      </w:hyperlink>
    </w:p>
    <w:p w14:paraId="64679D09" w14:textId="77777777" w:rsidR="00837222" w:rsidRPr="00837222" w:rsidRDefault="00837222" w:rsidP="00492C4E">
      <w:pPr>
        <w:spacing w:after="0"/>
        <w:jc w:val="both"/>
        <w:rPr>
          <w:rFonts w:cs="Times New Roman"/>
          <w:b/>
          <w:lang w:val="fr-FR" w:eastAsia="fr-FR"/>
        </w:rPr>
      </w:pPr>
    </w:p>
    <w:p w14:paraId="2E17B38B" w14:textId="77777777" w:rsidR="00837222" w:rsidRPr="00837222" w:rsidRDefault="00837222" w:rsidP="00492C4E">
      <w:pPr>
        <w:spacing w:after="0"/>
        <w:jc w:val="both"/>
        <w:rPr>
          <w:rFonts w:eastAsia="新細明體" w:cs="Times New Roman"/>
          <w:color w:val="008000"/>
          <w:sz w:val="20"/>
          <w:szCs w:val="20"/>
          <w:lang w:val="fr-FR" w:eastAsia="fr-FR"/>
        </w:rPr>
      </w:pPr>
      <w:r w:rsidRPr="00837222">
        <w:rPr>
          <w:rFonts w:eastAsia="新細明體" w:cs="Times New Roman"/>
          <w:lang w:val="fr-FR" w:eastAsia="fr-FR"/>
        </w:rPr>
        <w:t>凡律自頒降日為始，若犯在已前者，并依新律擬斷。</w:t>
      </w:r>
      <w:r w:rsidRPr="00837222">
        <w:rPr>
          <w:rFonts w:eastAsia="新細明體" w:cs="Times New Roman"/>
          <w:color w:val="008000"/>
          <w:sz w:val="20"/>
          <w:szCs w:val="20"/>
          <w:lang w:val="fr-FR" w:eastAsia="fr-FR"/>
        </w:rPr>
        <w:t>如事犯在未經定例之先，仍依律及已行之例定擬。其定例內有限以年月者，俱以限定年月為斷。若例應輕者，照新例遵行</w:t>
      </w:r>
    </w:p>
    <w:p w14:paraId="5E4F97F6" w14:textId="68CA03A9" w:rsidR="00837222" w:rsidRPr="00303421" w:rsidRDefault="00303421" w:rsidP="00492C4E">
      <w:pPr>
        <w:spacing w:after="0"/>
        <w:jc w:val="both"/>
        <w:rPr>
          <w:rFonts w:eastAsia="新細明體" w:cs="Times New Roman"/>
          <w:b/>
          <w:lang w:val="fr-FR" w:eastAsia="fr-FR"/>
        </w:rPr>
      </w:pPr>
      <w:r w:rsidRPr="00303421">
        <w:rPr>
          <w:rFonts w:eastAsia="新細明體" w:cs="Times New Roman"/>
          <w:b/>
          <w:lang w:val="fr-FR" w:eastAsia="fr-FR"/>
        </w:rPr>
        <w:t xml:space="preserve">Prononcer </w:t>
      </w:r>
      <w:r w:rsidR="002307EF">
        <w:rPr>
          <w:rFonts w:eastAsia="新細明體" w:cs="Times New Roman"/>
          <w:b/>
          <w:lang w:val="fr-FR" w:eastAsia="fr-FR"/>
        </w:rPr>
        <w:t>une peine</w:t>
      </w:r>
      <w:r w:rsidRPr="00303421">
        <w:rPr>
          <w:rFonts w:eastAsia="新細明體" w:cs="Times New Roman"/>
          <w:b/>
          <w:lang w:val="fr-FR" w:eastAsia="fr-FR"/>
        </w:rPr>
        <w:t xml:space="preserve"> en vertu d’un article nouvellement </w:t>
      </w:r>
      <w:r>
        <w:rPr>
          <w:rFonts w:eastAsia="新細明體" w:cs="Times New Roman"/>
          <w:b/>
          <w:lang w:val="fr-FR" w:eastAsia="fr-FR"/>
        </w:rPr>
        <w:t>promulgué</w:t>
      </w:r>
    </w:p>
    <w:p w14:paraId="3C6D56EE" w14:textId="68DA2227" w:rsidR="004F6AA4" w:rsidRPr="00B705B5" w:rsidRDefault="00D26324" w:rsidP="00492C4E">
      <w:pPr>
        <w:spacing w:after="0"/>
        <w:jc w:val="both"/>
        <w:rPr>
          <w:rFonts w:eastAsia="新細明體" w:cs="Times New Roman"/>
          <w:color w:val="0000FF"/>
          <w:sz w:val="20"/>
          <w:szCs w:val="20"/>
          <w:lang w:val="fr-FR" w:eastAsia="fr-FR"/>
        </w:rPr>
      </w:pPr>
      <w:r>
        <w:rPr>
          <w:rFonts w:eastAsia="新細明體" w:cs="Times New Roman"/>
          <w:lang w:val="fr-FR" w:eastAsia="fr-FR"/>
        </w:rPr>
        <w:t>T</w:t>
      </w:r>
      <w:r w:rsidR="00303421">
        <w:rPr>
          <w:rFonts w:eastAsia="新細明體" w:cs="Times New Roman"/>
          <w:lang w:val="fr-FR" w:eastAsia="fr-FR"/>
        </w:rPr>
        <w:t xml:space="preserve">out article prend effet à compter du jour de sa promulgation. Une infraction qui aurait été commise avant cette promulgation tombe dès lors sous le coup d’une condamnation </w:t>
      </w:r>
      <w:r w:rsidRPr="00D26324">
        <w:rPr>
          <w:rFonts w:eastAsia="新細明體" w:cs="Times New Roman"/>
          <w:b/>
          <w:lang w:val="fr-FR" w:eastAsia="fr-FR"/>
        </w:rPr>
        <w:t>en vertu</w:t>
      </w:r>
      <w:r>
        <w:rPr>
          <w:rFonts w:eastAsia="新細明體" w:cs="Times New Roman"/>
          <w:b/>
          <w:lang w:val="fr-FR" w:eastAsia="fr-FR"/>
        </w:rPr>
        <w:t xml:space="preserve"> (au titre)</w:t>
      </w:r>
      <w:r w:rsidR="00303421">
        <w:rPr>
          <w:rFonts w:eastAsia="新細明體" w:cs="Times New Roman"/>
          <w:lang w:val="fr-FR" w:eastAsia="fr-FR"/>
        </w:rPr>
        <w:t xml:space="preserve"> de ce  nouvel article. </w:t>
      </w:r>
      <w:r w:rsidR="00303421" w:rsidRPr="00B705B5">
        <w:rPr>
          <w:rFonts w:eastAsia="新細明體" w:cs="Times New Roman"/>
          <w:color w:val="0000FF"/>
          <w:sz w:val="20"/>
          <w:szCs w:val="20"/>
          <w:lang w:val="fr-FR" w:eastAsia="fr-FR"/>
        </w:rPr>
        <w:t>Si un cas d’infraction a lieu avant la confirmation d’un précédent en article complémentaire</w:t>
      </w:r>
      <w:r w:rsidR="002307EF">
        <w:rPr>
          <w:rFonts w:eastAsia="新細明體" w:cs="Times New Roman"/>
          <w:color w:val="0000FF"/>
          <w:sz w:val="20"/>
          <w:szCs w:val="20"/>
          <w:lang w:val="fr-FR" w:eastAsia="fr-FR"/>
        </w:rPr>
        <w:t xml:space="preserve"> ( ? </w:t>
      </w:r>
      <w:r w:rsidR="002307EF">
        <w:rPr>
          <w:rFonts w:eastAsia="新細明體" w:cs="Times New Roman" w:hint="eastAsia"/>
          <w:color w:val="0000FF"/>
          <w:sz w:val="20"/>
          <w:szCs w:val="20"/>
          <w:lang w:val="fr-FR"/>
        </w:rPr>
        <w:t>定例</w:t>
      </w:r>
      <w:r w:rsidR="002307EF">
        <w:rPr>
          <w:rFonts w:eastAsia="新細明體" w:cs="Times New Roman"/>
          <w:color w:val="0000FF"/>
          <w:sz w:val="20"/>
          <w:szCs w:val="20"/>
          <w:lang w:val="fr-FR"/>
        </w:rPr>
        <w:t>)</w:t>
      </w:r>
      <w:r w:rsidR="00303421" w:rsidRPr="00B705B5">
        <w:rPr>
          <w:rFonts w:eastAsia="新細明體" w:cs="Times New Roman"/>
          <w:color w:val="0000FF"/>
          <w:sz w:val="20"/>
          <w:szCs w:val="20"/>
          <w:lang w:val="fr-FR" w:eastAsia="fr-FR"/>
        </w:rPr>
        <w:t xml:space="preserve">, alors </w:t>
      </w:r>
      <w:r w:rsidR="002307EF">
        <w:rPr>
          <w:rFonts w:eastAsia="新細明體" w:cs="Times New Roman"/>
          <w:color w:val="0000FF"/>
          <w:sz w:val="20"/>
          <w:szCs w:val="20"/>
          <w:lang w:val="fr-FR" w:eastAsia="fr-FR"/>
        </w:rPr>
        <w:t xml:space="preserve">la sentence </w:t>
      </w:r>
      <w:r w:rsidR="00303421" w:rsidRPr="00B705B5">
        <w:rPr>
          <w:rFonts w:eastAsia="新細明體" w:cs="Times New Roman"/>
          <w:color w:val="0000FF"/>
          <w:sz w:val="20"/>
          <w:szCs w:val="20"/>
          <w:lang w:val="fr-FR" w:eastAsia="fr-FR"/>
        </w:rPr>
        <w:t xml:space="preserve">doit être prononcé </w:t>
      </w:r>
      <w:r w:rsidR="00303421" w:rsidRPr="00B705B5">
        <w:rPr>
          <w:rFonts w:eastAsia="新細明體" w:cs="Times New Roman"/>
          <w:b/>
          <w:color w:val="0000FF"/>
          <w:sz w:val="20"/>
          <w:szCs w:val="20"/>
          <w:lang w:val="fr-FR" w:eastAsia="fr-FR"/>
        </w:rPr>
        <w:t>en vertu</w:t>
      </w:r>
      <w:r w:rsidR="00303421" w:rsidRPr="00B705B5">
        <w:rPr>
          <w:rFonts w:eastAsia="新細明體" w:cs="Times New Roman"/>
          <w:color w:val="0000FF"/>
          <w:sz w:val="20"/>
          <w:szCs w:val="20"/>
          <w:lang w:val="fr-FR" w:eastAsia="fr-FR"/>
        </w:rPr>
        <w:t xml:space="preserve"> </w:t>
      </w:r>
      <w:r w:rsidRPr="00B705B5">
        <w:rPr>
          <w:rFonts w:eastAsia="新細明體" w:cs="Times New Roman"/>
          <w:color w:val="0000FF"/>
          <w:sz w:val="20"/>
          <w:szCs w:val="20"/>
          <w:lang w:val="fr-FR" w:eastAsia="fr-FR"/>
        </w:rPr>
        <w:t xml:space="preserve">d’un article </w:t>
      </w:r>
      <w:r w:rsidRPr="00B705B5">
        <w:rPr>
          <w:rFonts w:eastAsia="新細明體" w:cs="Times New Roman"/>
          <w:b/>
          <w:color w:val="0000FF"/>
          <w:sz w:val="20"/>
          <w:szCs w:val="20"/>
          <w:lang w:val="fr-FR" w:eastAsia="fr-FR"/>
        </w:rPr>
        <w:t>principal</w:t>
      </w:r>
      <w:r w:rsidR="002307EF">
        <w:rPr>
          <w:rFonts w:eastAsia="新細明體" w:cs="Times New Roman"/>
          <w:b/>
          <w:color w:val="0000FF"/>
          <w:sz w:val="20"/>
          <w:szCs w:val="20"/>
          <w:lang w:val="fr-FR" w:eastAsia="fr-FR"/>
        </w:rPr>
        <w:t xml:space="preserve"> ( ?)</w:t>
      </w:r>
      <w:r w:rsidRPr="00B705B5">
        <w:rPr>
          <w:rFonts w:eastAsia="新細明體" w:cs="Times New Roman"/>
          <w:b/>
          <w:color w:val="0000FF"/>
          <w:sz w:val="20"/>
          <w:szCs w:val="20"/>
          <w:lang w:val="fr-FR" w:eastAsia="fr-FR"/>
        </w:rPr>
        <w:t xml:space="preserve"> </w:t>
      </w:r>
      <w:r w:rsidRPr="00B705B5">
        <w:rPr>
          <w:rFonts w:eastAsia="新細明體" w:cs="Times New Roman"/>
          <w:color w:val="0000FF"/>
          <w:sz w:val="20"/>
          <w:szCs w:val="20"/>
          <w:lang w:val="fr-FR" w:eastAsia="fr-FR"/>
        </w:rPr>
        <w:t xml:space="preserve">ou d’un </w:t>
      </w:r>
      <w:r w:rsidR="004F6AA4" w:rsidRPr="00B705B5">
        <w:rPr>
          <w:rFonts w:eastAsia="新細明體" w:cs="Times New Roman"/>
          <w:b/>
          <w:color w:val="0000FF"/>
          <w:sz w:val="20"/>
          <w:szCs w:val="20"/>
          <w:lang w:val="fr-FR" w:eastAsia="fr-FR"/>
        </w:rPr>
        <w:t>article complémentaire</w:t>
      </w:r>
      <w:r w:rsidR="002307EF">
        <w:rPr>
          <w:rFonts w:eastAsia="新細明體" w:cs="Times New Roman"/>
          <w:b/>
          <w:color w:val="0000FF"/>
          <w:sz w:val="20"/>
          <w:szCs w:val="20"/>
          <w:lang w:val="fr-FR" w:eastAsia="fr-FR"/>
        </w:rPr>
        <w:t xml:space="preserve"> déjà en vigueur</w:t>
      </w:r>
      <w:r w:rsidRPr="00B705B5">
        <w:rPr>
          <w:rFonts w:eastAsia="新細明體" w:cs="Times New Roman"/>
          <w:color w:val="0000FF"/>
          <w:sz w:val="20"/>
          <w:szCs w:val="20"/>
          <w:lang w:val="fr-FR" w:eastAsia="fr-FR"/>
        </w:rPr>
        <w:t xml:space="preserve">. </w:t>
      </w:r>
      <w:r w:rsidR="002307EF">
        <w:rPr>
          <w:rFonts w:eastAsia="新細明體" w:cs="Times New Roman"/>
          <w:color w:val="0000FF"/>
          <w:sz w:val="20"/>
          <w:szCs w:val="20"/>
          <w:lang w:val="fr-FR" w:eastAsia="fr-FR"/>
        </w:rPr>
        <w:t xml:space="preserve">Quand dans un </w:t>
      </w:r>
      <w:r w:rsidR="004F6AA4" w:rsidRPr="00B705B5">
        <w:rPr>
          <w:rFonts w:eastAsia="新細明體" w:cs="Times New Roman"/>
          <w:color w:val="0000FF"/>
          <w:sz w:val="20"/>
          <w:szCs w:val="20"/>
          <w:lang w:val="fr-FR" w:eastAsia="fr-FR"/>
        </w:rPr>
        <w:t xml:space="preserve">article complémentaire </w:t>
      </w:r>
      <w:r w:rsidR="002307EF">
        <w:rPr>
          <w:rFonts w:eastAsia="新細明體" w:cs="Times New Roman"/>
          <w:color w:val="0000FF"/>
          <w:sz w:val="20"/>
          <w:szCs w:val="20"/>
          <w:lang w:val="fr-FR" w:eastAsia="fr-FR"/>
        </w:rPr>
        <w:t>est précisée le mois et l’</w:t>
      </w:r>
      <w:r w:rsidR="004F6AA4" w:rsidRPr="00B705B5">
        <w:rPr>
          <w:rFonts w:eastAsia="新細明體" w:cs="Times New Roman"/>
          <w:color w:val="0000FF"/>
          <w:sz w:val="20"/>
          <w:szCs w:val="20"/>
          <w:lang w:val="fr-FR" w:eastAsia="fr-FR"/>
        </w:rPr>
        <w:t xml:space="preserve">année </w:t>
      </w:r>
      <w:r w:rsidR="002307EF">
        <w:rPr>
          <w:rFonts w:eastAsia="新細明體" w:cs="Times New Roman"/>
          <w:color w:val="0000FF"/>
          <w:sz w:val="20"/>
          <w:szCs w:val="20"/>
          <w:lang w:val="fr-FR" w:eastAsia="fr-FR"/>
        </w:rPr>
        <w:t xml:space="preserve">de </w:t>
      </w:r>
      <w:r w:rsidR="002307EF">
        <w:rPr>
          <w:rFonts w:eastAsia="新細明體" w:cs="Times New Roman"/>
          <w:b/>
          <w:color w:val="0000FF"/>
          <w:sz w:val="20"/>
          <w:szCs w:val="20"/>
          <w:lang w:val="fr-FR" w:eastAsia="fr-FR"/>
        </w:rPr>
        <w:t>la</w:t>
      </w:r>
      <w:r w:rsidR="002307EF" w:rsidRPr="002307EF">
        <w:rPr>
          <w:rFonts w:eastAsia="新細明體" w:cs="Times New Roman"/>
          <w:b/>
          <w:color w:val="0000FF"/>
          <w:sz w:val="20"/>
          <w:szCs w:val="20"/>
          <w:lang w:val="fr-FR" w:eastAsia="fr-FR"/>
        </w:rPr>
        <w:t xml:space="preserve"> mise en vigueur</w:t>
      </w:r>
      <w:r w:rsidR="002307EF">
        <w:rPr>
          <w:rFonts w:eastAsia="新細明體" w:cs="Times New Roman"/>
          <w:b/>
          <w:color w:val="0000FF"/>
          <w:sz w:val="20"/>
          <w:szCs w:val="20"/>
          <w:lang w:val="fr-FR" w:eastAsia="fr-FR"/>
        </w:rPr>
        <w:t xml:space="preserve"> </w:t>
      </w:r>
      <w:r w:rsidR="002307EF" w:rsidRPr="002307EF">
        <w:rPr>
          <w:rFonts w:eastAsia="新細明體" w:cs="Times New Roman"/>
          <w:color w:val="0000FF"/>
          <w:sz w:val="20"/>
          <w:szCs w:val="20"/>
          <w:lang w:val="fr-FR" w:eastAsia="fr-FR"/>
        </w:rPr>
        <w:t>(lit. limite de confirmation)</w:t>
      </w:r>
      <w:r w:rsidR="004F6AA4" w:rsidRPr="002307EF">
        <w:rPr>
          <w:rFonts w:eastAsia="新細明體" w:cs="Times New Roman"/>
          <w:color w:val="0000FF"/>
          <w:sz w:val="20"/>
          <w:szCs w:val="20"/>
          <w:lang w:val="fr-FR" w:eastAsia="fr-FR"/>
        </w:rPr>
        <w:t>,</w:t>
      </w:r>
      <w:r w:rsidR="004F6AA4" w:rsidRPr="00B705B5">
        <w:rPr>
          <w:rFonts w:eastAsia="新細明體" w:cs="Times New Roman"/>
          <w:color w:val="0000FF"/>
          <w:sz w:val="20"/>
          <w:szCs w:val="20"/>
          <w:lang w:val="fr-FR" w:eastAsia="fr-FR"/>
        </w:rPr>
        <w:t xml:space="preserve"> </w:t>
      </w:r>
      <w:r w:rsidR="002307EF">
        <w:rPr>
          <w:rFonts w:eastAsia="新細明體" w:cs="Times New Roman"/>
          <w:color w:val="0000FF"/>
          <w:sz w:val="20"/>
          <w:szCs w:val="20"/>
          <w:lang w:val="fr-FR" w:eastAsia="fr-FR"/>
        </w:rPr>
        <w:t>tout jugement doit tenir compte de cette date</w:t>
      </w:r>
      <w:r w:rsidR="00FF6D75" w:rsidRPr="00B705B5">
        <w:rPr>
          <w:rFonts w:eastAsia="新細明體" w:cs="Times New Roman"/>
          <w:color w:val="0000FF"/>
          <w:sz w:val="20"/>
          <w:szCs w:val="20"/>
          <w:lang w:val="fr-FR" w:eastAsia="fr-FR"/>
        </w:rPr>
        <w:t xml:space="preserve"> </w:t>
      </w:r>
      <w:r w:rsidR="002307EF" w:rsidRPr="002307EF">
        <w:rPr>
          <w:rFonts w:eastAsia="新細明體" w:cs="Times New Roman"/>
          <w:color w:val="0000FF"/>
          <w:sz w:val="20"/>
          <w:szCs w:val="20"/>
          <w:lang w:val="fr-FR" w:eastAsia="fr-FR"/>
        </w:rPr>
        <w:t>de mise en vigueur</w:t>
      </w:r>
      <w:r w:rsidR="00FF6D75" w:rsidRPr="00B705B5">
        <w:rPr>
          <w:rFonts w:eastAsia="新細明體" w:cs="Times New Roman"/>
          <w:b/>
          <w:color w:val="0000FF"/>
          <w:sz w:val="20"/>
          <w:szCs w:val="20"/>
          <w:lang w:val="fr-FR" w:eastAsia="fr-FR"/>
        </w:rPr>
        <w:t>.</w:t>
      </w:r>
      <w:r w:rsidR="00FF6D75" w:rsidRPr="00B705B5">
        <w:rPr>
          <w:rFonts w:eastAsia="新細明體" w:cs="Times New Roman"/>
          <w:color w:val="0000FF"/>
          <w:sz w:val="20"/>
          <w:szCs w:val="20"/>
          <w:lang w:val="fr-FR" w:eastAsia="fr-FR"/>
        </w:rPr>
        <w:t xml:space="preserve"> Si un article complémentaire ordonne de prononcer une sentence plus</w:t>
      </w:r>
      <w:r w:rsidR="002307EF">
        <w:rPr>
          <w:rFonts w:eastAsia="新細明體" w:cs="Times New Roman"/>
          <w:color w:val="0000FF"/>
          <w:sz w:val="20"/>
          <w:szCs w:val="20"/>
          <w:lang w:val="fr-FR" w:eastAsia="fr-FR"/>
        </w:rPr>
        <w:t xml:space="preserve"> clémente, c’est en référence à ce</w:t>
      </w:r>
      <w:r w:rsidR="00FF6D75" w:rsidRPr="00B705B5">
        <w:rPr>
          <w:rFonts w:eastAsia="新細明體" w:cs="Times New Roman"/>
          <w:color w:val="0000FF"/>
          <w:sz w:val="20"/>
          <w:szCs w:val="20"/>
          <w:lang w:val="fr-FR" w:eastAsia="fr-FR"/>
        </w:rPr>
        <w:t xml:space="preserve"> nouvel article que se règle la pratique.  </w:t>
      </w:r>
    </w:p>
    <w:p w14:paraId="4974324D" w14:textId="77777777" w:rsidR="00303421" w:rsidRDefault="00303421" w:rsidP="00492C4E">
      <w:pPr>
        <w:spacing w:after="0"/>
        <w:jc w:val="both"/>
        <w:rPr>
          <w:rFonts w:eastAsia="新細明體" w:cs="Times New Roman"/>
          <w:lang w:val="fr-FR" w:eastAsia="fr-FR"/>
        </w:rPr>
      </w:pPr>
    </w:p>
    <w:p w14:paraId="56EA5EB2" w14:textId="77777777" w:rsidR="00303421" w:rsidRPr="00837222" w:rsidRDefault="00303421" w:rsidP="00492C4E">
      <w:pPr>
        <w:spacing w:after="0"/>
        <w:jc w:val="both"/>
        <w:rPr>
          <w:rFonts w:eastAsia="新細明體" w:cs="Times New Roman"/>
          <w:lang w:val="fr-FR" w:eastAsia="fr-FR"/>
        </w:rPr>
      </w:pPr>
    </w:p>
    <w:p w14:paraId="4FC504BE" w14:textId="77777777" w:rsidR="00837222" w:rsidRPr="00837222" w:rsidRDefault="00FE71F6" w:rsidP="00492C4E">
      <w:pPr>
        <w:spacing w:after="0"/>
        <w:jc w:val="both"/>
        <w:rPr>
          <w:rFonts w:eastAsia="新細明體" w:cs="Times New Roman"/>
          <w:lang w:val="fr-FR" w:eastAsia="fr-FR"/>
        </w:rPr>
      </w:pPr>
      <w:hyperlink r:id="rId13" w:history="1">
        <w:r w:rsidR="00837222" w:rsidRPr="00837222">
          <w:rPr>
            <w:rFonts w:eastAsia="新細明體" w:cs="Times New Roman"/>
            <w:color w:val="0000FF"/>
            <w:u w:val="single"/>
            <w:lang w:val="fr-FR" w:eastAsia="fr-FR"/>
          </w:rPr>
          <w:t>條例</w:t>
        </w:r>
        <w:r w:rsidR="00837222" w:rsidRPr="00837222">
          <w:rPr>
            <w:rFonts w:eastAsia="新細明體" w:cs="Times New Roman"/>
            <w:color w:val="0000FF"/>
            <w:u w:val="single"/>
            <w:lang w:val="fr-FR" w:eastAsia="fr-FR"/>
          </w:rPr>
          <w:t xml:space="preserve">/tiaoli 1 </w:t>
        </w:r>
      </w:hyperlink>
    </w:p>
    <w:p w14:paraId="5453D34D" w14:textId="77777777" w:rsidR="00837222" w:rsidRDefault="00837222" w:rsidP="00492C4E">
      <w:pPr>
        <w:spacing w:after="0"/>
        <w:jc w:val="both"/>
        <w:rPr>
          <w:rFonts w:eastAsia="新細明體" w:cs="Times New Roman"/>
          <w:lang w:val="fr-FR" w:eastAsia="fr-FR"/>
        </w:rPr>
      </w:pPr>
      <w:r w:rsidRPr="00837222">
        <w:rPr>
          <w:rFonts w:eastAsia="新細明體" w:cs="Times New Roman"/>
          <w:lang w:val="fr-FR" w:eastAsia="fr-FR"/>
        </w:rPr>
        <w:t>律例頒布之後，凡問刑衙門敢有恣任喜怒，引擬失當或移情就例，故入人罪，苛刻顯著者，各依故失出入律坐罪。</w:t>
      </w:r>
    </w:p>
    <w:p w14:paraId="2456D2B0" w14:textId="3D9B4DE3" w:rsidR="00D26324" w:rsidRPr="00837222" w:rsidRDefault="00B705B5" w:rsidP="00492C4E">
      <w:pPr>
        <w:spacing w:after="0"/>
        <w:jc w:val="both"/>
        <w:rPr>
          <w:rFonts w:eastAsia="新細明體" w:cs="Times New Roman"/>
          <w:lang w:val="fr-FR" w:eastAsia="fr-FR"/>
        </w:rPr>
      </w:pPr>
      <w:r>
        <w:rPr>
          <w:rFonts w:eastAsia="新細明體" w:cs="Times New Roman"/>
          <w:lang w:val="fr-FR" w:eastAsia="fr-FR"/>
        </w:rPr>
        <w:t xml:space="preserve">Après la promulgation du code , </w:t>
      </w:r>
      <w:r w:rsidR="00DF3B89">
        <w:rPr>
          <w:rFonts w:eastAsia="新細明體" w:cs="Times New Roman"/>
          <w:lang w:val="fr-FR" w:eastAsia="fr-FR"/>
        </w:rPr>
        <w:t>toutes les cours judiciaires qui oseront encore juger</w:t>
      </w:r>
      <w:r w:rsidR="002307EF">
        <w:rPr>
          <w:rFonts w:eastAsia="新細明體" w:cs="Times New Roman"/>
          <w:lang w:val="fr-FR" w:eastAsia="fr-FR"/>
        </w:rPr>
        <w:t xml:space="preserve"> à</w:t>
      </w:r>
      <w:r w:rsidR="00DF3B89">
        <w:rPr>
          <w:rFonts w:eastAsia="新細明體" w:cs="Times New Roman"/>
          <w:lang w:val="fr-FR" w:eastAsia="fr-FR"/>
        </w:rPr>
        <w:t xml:space="preserve"> leur guise</w:t>
      </w:r>
      <w:r w:rsidR="002307EF">
        <w:rPr>
          <w:rFonts w:eastAsia="新細明體" w:cs="Times New Roman"/>
          <w:lang w:val="fr-FR" w:eastAsia="fr-FR"/>
        </w:rPr>
        <w:t xml:space="preserve"> ou selon leur humeur</w:t>
      </w:r>
      <w:r w:rsidR="00DF3B89">
        <w:rPr>
          <w:rFonts w:eastAsia="新細明體" w:cs="Times New Roman"/>
          <w:lang w:val="fr-FR" w:eastAsia="fr-FR"/>
        </w:rPr>
        <w:t xml:space="preserve">, </w:t>
      </w:r>
      <w:r w:rsidR="00FF7B3E">
        <w:rPr>
          <w:rFonts w:eastAsia="新細明體" w:cs="Times New Roman"/>
          <w:lang w:val="fr-FR" w:eastAsia="fr-FR"/>
        </w:rPr>
        <w:t xml:space="preserve">faire des citations invalides et  prendre leur sentiment pour seule règle ( ?), acquittant/condamnant à tort délibérément, seront sévèrement dénoncés publiquement, et chacun sera incriminé </w:t>
      </w:r>
      <w:r w:rsidR="00F00D74" w:rsidRPr="00F00D74">
        <w:rPr>
          <w:rFonts w:eastAsia="新細明體" w:cs="Times New Roman"/>
          <w:b/>
          <w:lang w:val="fr-FR" w:eastAsia="fr-FR"/>
        </w:rPr>
        <w:t>en vertu (</w:t>
      </w:r>
      <w:r w:rsidR="00FF7B3E" w:rsidRPr="00F00D74">
        <w:rPr>
          <w:rFonts w:eastAsia="新細明體" w:cs="Times New Roman"/>
          <w:b/>
          <w:lang w:val="fr-FR" w:eastAsia="fr-FR"/>
        </w:rPr>
        <w:t>au titre</w:t>
      </w:r>
      <w:r w:rsidR="00F00D74" w:rsidRPr="00F00D74">
        <w:rPr>
          <w:rFonts w:eastAsia="新細明體" w:cs="Times New Roman"/>
          <w:b/>
          <w:lang w:val="fr-FR" w:eastAsia="fr-FR"/>
        </w:rPr>
        <w:t>)</w:t>
      </w:r>
      <w:r w:rsidR="00FF7B3E" w:rsidRPr="00F00D74">
        <w:rPr>
          <w:rFonts w:eastAsia="新細明體" w:cs="Times New Roman"/>
          <w:b/>
          <w:lang w:val="fr-FR" w:eastAsia="fr-FR"/>
        </w:rPr>
        <w:t xml:space="preserve"> </w:t>
      </w:r>
      <w:r w:rsidR="00FF7B3E">
        <w:rPr>
          <w:rFonts w:eastAsia="新細明體" w:cs="Times New Roman"/>
          <w:lang w:val="fr-FR" w:eastAsia="fr-FR"/>
        </w:rPr>
        <w:t>de l’article « acquitter/condamner à tort intentionnellement ».</w:t>
      </w:r>
    </w:p>
    <w:p w14:paraId="2EDE087E" w14:textId="77777777" w:rsidR="00837222" w:rsidRPr="00837222" w:rsidRDefault="00837222" w:rsidP="00492C4E">
      <w:pPr>
        <w:spacing w:after="0"/>
        <w:jc w:val="both"/>
        <w:rPr>
          <w:rFonts w:eastAsia="新細明體" w:cs="Times New Roman"/>
          <w:b/>
          <w:lang w:val="fr-FR" w:eastAsia="fr-FR"/>
        </w:rPr>
      </w:pPr>
    </w:p>
    <w:p w14:paraId="364162F6" w14:textId="77777777" w:rsidR="00837222" w:rsidRPr="00837222" w:rsidRDefault="00FE71F6" w:rsidP="00492C4E">
      <w:pPr>
        <w:spacing w:after="0"/>
        <w:jc w:val="both"/>
        <w:rPr>
          <w:rFonts w:eastAsia="新細明體" w:cs="Times New Roman"/>
          <w:b/>
          <w:lang w:val="fr-FR" w:eastAsia="fr-FR"/>
        </w:rPr>
      </w:pPr>
      <w:hyperlink r:id="rId14" w:history="1">
        <w:r w:rsidR="00837222" w:rsidRPr="00837222">
          <w:rPr>
            <w:rFonts w:eastAsia="新細明體" w:cs="Times New Roman"/>
            <w:b/>
            <w:color w:val="0000FF"/>
            <w:u w:val="single"/>
            <w:lang w:val="fr-FR" w:eastAsia="fr-FR"/>
          </w:rPr>
          <w:t>律</w:t>
        </w:r>
        <w:r w:rsidR="00837222" w:rsidRPr="00837222">
          <w:rPr>
            <w:rFonts w:eastAsia="新細明體" w:cs="Times New Roman"/>
            <w:b/>
            <w:color w:val="0000FF"/>
            <w:u w:val="single"/>
            <w:lang w:val="fr-FR" w:eastAsia="fr-FR"/>
          </w:rPr>
          <w:t xml:space="preserve">/lü 44 | Duanzui wu zhengtiao </w:t>
        </w:r>
        <w:r w:rsidR="00837222" w:rsidRPr="00837222">
          <w:rPr>
            <w:rFonts w:eastAsia="新細明體" w:cs="Times New Roman"/>
            <w:b/>
            <w:color w:val="0000FF"/>
            <w:u w:val="single"/>
            <w:lang w:val="fr-FR" w:eastAsia="fr-FR"/>
          </w:rPr>
          <w:t>斷罪無正條</w:t>
        </w:r>
      </w:hyperlink>
    </w:p>
    <w:p w14:paraId="7600513C" w14:textId="77777777" w:rsidR="00837222" w:rsidRPr="00837222" w:rsidRDefault="00837222" w:rsidP="00492C4E">
      <w:pPr>
        <w:spacing w:after="0"/>
        <w:jc w:val="both"/>
        <w:rPr>
          <w:rFonts w:eastAsia="新細明體" w:cs="Times New Roman"/>
          <w:b/>
          <w:lang w:val="fr-FR" w:eastAsia="fr-FR"/>
        </w:rPr>
      </w:pPr>
    </w:p>
    <w:p w14:paraId="057E3ABB" w14:textId="77777777" w:rsidR="00837222" w:rsidRDefault="00837222" w:rsidP="00492C4E">
      <w:pPr>
        <w:spacing w:after="0"/>
        <w:jc w:val="both"/>
        <w:rPr>
          <w:rFonts w:eastAsia="新細明體" w:cs="Times New Roman"/>
          <w:lang w:val="fr-FR" w:eastAsia="fr-FR"/>
        </w:rPr>
      </w:pPr>
      <w:r w:rsidRPr="00837222">
        <w:rPr>
          <w:rFonts w:eastAsia="新細明體" w:cs="Times New Roman"/>
          <w:lang w:val="fr-FR" w:eastAsia="fr-FR"/>
        </w:rPr>
        <w:t>凡律令該載不盡事理，若斷罪無正條者，</w:t>
      </w:r>
      <w:r w:rsidRPr="00837222">
        <w:rPr>
          <w:rFonts w:eastAsia="新細明體" w:cs="Times New Roman"/>
          <w:color w:val="008000"/>
          <w:sz w:val="20"/>
          <w:szCs w:val="20"/>
          <w:lang w:val="fr-FR" w:eastAsia="fr-FR"/>
        </w:rPr>
        <w:t>援</w:t>
      </w:r>
      <w:r w:rsidRPr="00837222">
        <w:rPr>
          <w:rFonts w:eastAsia="新細明體" w:cs="Times New Roman"/>
          <w:lang w:val="fr-FR" w:eastAsia="fr-FR"/>
        </w:rPr>
        <w:t>引</w:t>
      </w:r>
      <w:r w:rsidRPr="00837222">
        <w:rPr>
          <w:rFonts w:eastAsia="新細明體" w:cs="Times New Roman"/>
          <w:color w:val="008000"/>
          <w:sz w:val="20"/>
          <w:szCs w:val="20"/>
          <w:lang w:val="fr-FR" w:eastAsia="fr-FR"/>
        </w:rPr>
        <w:t>他</w:t>
      </w:r>
      <w:r w:rsidRPr="00837222">
        <w:rPr>
          <w:rFonts w:eastAsia="新細明體" w:cs="Times New Roman"/>
          <w:lang w:val="fr-FR" w:eastAsia="fr-FR"/>
        </w:rPr>
        <w:t>律比附，應加、應減，定擬罪名，</w:t>
      </w:r>
      <w:r w:rsidRPr="00837222">
        <w:rPr>
          <w:rFonts w:eastAsia="新細明體" w:cs="Times New Roman"/>
          <w:color w:val="008000"/>
          <w:sz w:val="20"/>
          <w:szCs w:val="20"/>
          <w:lang w:val="fr-FR" w:eastAsia="fr-FR"/>
        </w:rPr>
        <w:t>申該上司</w:t>
      </w:r>
      <w:r w:rsidRPr="00837222">
        <w:rPr>
          <w:rFonts w:eastAsia="新細明體" w:cs="Times New Roman"/>
          <w:lang w:val="fr-FR" w:eastAsia="fr-FR"/>
        </w:rPr>
        <w:t>議定奏聞。若輒斷決，致罪有出入，以故失論。</w:t>
      </w:r>
    </w:p>
    <w:p w14:paraId="7576B1AB" w14:textId="77777777" w:rsidR="00973D99" w:rsidRDefault="00973D99" w:rsidP="00492C4E">
      <w:pPr>
        <w:spacing w:after="0"/>
        <w:jc w:val="both"/>
        <w:rPr>
          <w:rFonts w:eastAsia="新細明體" w:cs="Times New Roman"/>
          <w:lang w:val="fr-FR" w:eastAsia="fr-FR"/>
        </w:rPr>
      </w:pPr>
    </w:p>
    <w:p w14:paraId="658AE408" w14:textId="3A708547" w:rsidR="00973D99" w:rsidRPr="00973D99" w:rsidRDefault="00973D99" w:rsidP="00492C4E">
      <w:pPr>
        <w:spacing w:after="0"/>
        <w:jc w:val="both"/>
        <w:rPr>
          <w:rFonts w:eastAsia="新細明體" w:cs="Times New Roman"/>
          <w:b/>
          <w:lang w:val="fr-FR" w:eastAsia="fr-FR"/>
        </w:rPr>
      </w:pPr>
      <w:r w:rsidRPr="00973D99">
        <w:rPr>
          <w:rFonts w:eastAsia="新細明體" w:cs="Times New Roman"/>
          <w:b/>
          <w:lang w:val="fr-FR" w:eastAsia="fr-FR"/>
        </w:rPr>
        <w:t>Prononcer une sentence en l’absence d’un article s’appliquant exactement au cas en jugement</w:t>
      </w:r>
    </w:p>
    <w:p w14:paraId="753460E9" w14:textId="77777777" w:rsidR="00973D99" w:rsidRPr="00837222" w:rsidRDefault="00973D99" w:rsidP="00492C4E">
      <w:pPr>
        <w:spacing w:after="0"/>
        <w:jc w:val="both"/>
        <w:rPr>
          <w:rFonts w:eastAsia="新細明體" w:cs="Times New Roman"/>
          <w:lang w:val="fr-FR"/>
        </w:rPr>
      </w:pPr>
      <w:r>
        <w:rPr>
          <w:rFonts w:eastAsia="新細明體" w:cs="Times New Roman"/>
          <w:lang w:val="fr-FR" w:eastAsia="fr-FR"/>
        </w:rPr>
        <w:t xml:space="preserve">Les dispositions comprises dans les lois et les ordonnances ne peuvent prévoir tous les cas. Si aucun </w:t>
      </w:r>
      <w:r w:rsidRPr="00DF6CC7">
        <w:rPr>
          <w:rFonts w:eastAsia="新細明體" w:cs="Times New Roman"/>
          <w:b/>
          <w:lang w:val="fr-FR" w:eastAsia="fr-FR"/>
        </w:rPr>
        <w:t>article</w:t>
      </w:r>
      <w:r>
        <w:rPr>
          <w:rFonts w:eastAsia="新細明體" w:cs="Times New Roman"/>
          <w:lang w:val="fr-FR" w:eastAsia="fr-FR"/>
        </w:rPr>
        <w:t xml:space="preserve"> </w:t>
      </w:r>
      <w:r>
        <w:rPr>
          <w:rFonts w:eastAsia="新細明體" w:cs="Times New Roman" w:hint="eastAsia"/>
          <w:lang w:val="fr-FR" w:eastAsia="fr-FR"/>
        </w:rPr>
        <w:t>(</w:t>
      </w:r>
      <w:r>
        <w:rPr>
          <w:rFonts w:eastAsia="新細明體" w:cs="Times New Roman" w:hint="eastAsia"/>
          <w:lang w:val="fr-FR"/>
        </w:rPr>
        <w:t>條</w:t>
      </w:r>
      <w:r>
        <w:rPr>
          <w:rFonts w:eastAsia="新細明體" w:cs="Times New Roman"/>
          <w:lang w:val="fr-FR"/>
        </w:rPr>
        <w:t xml:space="preserve">) </w:t>
      </w:r>
      <w:r>
        <w:rPr>
          <w:rFonts w:eastAsia="新細明體" w:cs="Times New Roman"/>
          <w:lang w:val="fr-FR" w:eastAsia="fr-FR"/>
        </w:rPr>
        <w:t xml:space="preserve">ne s’applique au cas en jugement, citer un </w:t>
      </w:r>
      <w:r w:rsidRPr="00DF6CC7">
        <w:rPr>
          <w:rFonts w:eastAsia="新細明體" w:cs="Times New Roman"/>
          <w:color w:val="0000FF"/>
          <w:sz w:val="20"/>
          <w:szCs w:val="20"/>
          <w:lang w:val="fr-FR" w:eastAsia="fr-FR"/>
        </w:rPr>
        <w:t xml:space="preserve">autre </w:t>
      </w:r>
      <w:r w:rsidRPr="00DF6CC7">
        <w:rPr>
          <w:rFonts w:eastAsia="新細明體" w:cs="Times New Roman"/>
          <w:b/>
          <w:lang w:val="fr-FR" w:eastAsia="fr-FR"/>
        </w:rPr>
        <w:t>article</w:t>
      </w:r>
      <w:r>
        <w:rPr>
          <w:rFonts w:eastAsia="新細明體" w:cs="Times New Roman"/>
          <w:lang w:val="fr-FR" w:eastAsia="fr-FR"/>
        </w:rPr>
        <w:t xml:space="preserve">  (</w:t>
      </w:r>
      <w:r>
        <w:rPr>
          <w:rFonts w:eastAsia="新細明體" w:cs="Times New Roman" w:hint="eastAsia"/>
          <w:lang w:val="fr-FR"/>
        </w:rPr>
        <w:t>律</w:t>
      </w:r>
      <w:r>
        <w:rPr>
          <w:rFonts w:eastAsia="新細明體" w:cs="Times New Roman" w:hint="eastAsia"/>
          <w:lang w:val="fr-FR"/>
        </w:rPr>
        <w:t>)</w:t>
      </w:r>
      <w:r>
        <w:rPr>
          <w:rFonts w:eastAsia="新細明體" w:cs="Times New Roman"/>
          <w:lang w:val="fr-FR"/>
        </w:rPr>
        <w:t xml:space="preserve"> par</w:t>
      </w:r>
      <w:r w:rsidRPr="00DF6CC7">
        <w:rPr>
          <w:rFonts w:eastAsia="新細明體" w:cs="Times New Roman"/>
          <w:b/>
          <w:lang w:val="fr-FR"/>
        </w:rPr>
        <w:t xml:space="preserve"> analogie</w:t>
      </w:r>
      <w:r>
        <w:rPr>
          <w:rFonts w:eastAsia="新細明體" w:cs="Times New Roman"/>
          <w:b/>
          <w:lang w:val="fr-FR"/>
        </w:rPr>
        <w:t xml:space="preserve">, </w:t>
      </w:r>
      <w:r>
        <w:rPr>
          <w:rFonts w:eastAsia="新細明體" w:cs="Times New Roman"/>
          <w:lang w:val="fr-FR"/>
        </w:rPr>
        <w:t xml:space="preserve">en augmentant ou diminuant la peine pour fixer la sentence </w:t>
      </w:r>
      <w:r>
        <w:rPr>
          <w:rFonts w:eastAsia="新細明體" w:cs="Times New Roman"/>
          <w:sz w:val="20"/>
          <w:szCs w:val="20"/>
          <w:lang w:val="fr-FR"/>
        </w:rPr>
        <w:t xml:space="preserve"> soumise aux autorités supérieures</w:t>
      </w:r>
      <w:r>
        <w:rPr>
          <w:rFonts w:eastAsia="新細明體" w:cs="Times New Roman"/>
          <w:lang w:val="fr-FR"/>
        </w:rPr>
        <w:t xml:space="preserve"> qui est délibérée et transmise par mémoire à l’empereur pour confirmation. Tout jugement prononcé </w:t>
      </w:r>
      <w:r w:rsidRPr="00973D99">
        <w:rPr>
          <w:rFonts w:eastAsia="新細明體" w:cs="Times New Roman"/>
          <w:b/>
          <w:lang w:val="fr-FR"/>
        </w:rPr>
        <w:t>par analogie hors de cette procédure</w:t>
      </w:r>
      <w:r>
        <w:rPr>
          <w:rFonts w:eastAsia="新細明體" w:cs="Times New Roman"/>
          <w:lang w:val="fr-FR"/>
        </w:rPr>
        <w:t xml:space="preserve"> qui </w:t>
      </w:r>
      <w:r w:rsidRPr="00793DDA">
        <w:rPr>
          <w:rFonts w:eastAsia="新細明體" w:cs="Times New Roman"/>
          <w:b/>
          <w:lang w:val="fr-FR"/>
        </w:rPr>
        <w:t>conduit à une sentence erronée</w:t>
      </w:r>
      <w:r>
        <w:rPr>
          <w:rFonts w:eastAsia="新細明體" w:cs="Times New Roman"/>
          <w:lang w:val="fr-FR"/>
        </w:rPr>
        <w:t xml:space="preserve"> est </w:t>
      </w:r>
      <w:r w:rsidRPr="00973D99">
        <w:rPr>
          <w:rFonts w:eastAsia="新細明體" w:cs="Times New Roman"/>
          <w:b/>
          <w:lang w:val="fr-FR"/>
        </w:rPr>
        <w:t>passible</w:t>
      </w:r>
      <w:r>
        <w:rPr>
          <w:rFonts w:eastAsia="新細明體" w:cs="Times New Roman"/>
          <w:lang w:val="fr-FR"/>
        </w:rPr>
        <w:t xml:space="preserve">  des peines prévues pour condamner/acquitter à tort, soit intentionnellement, soit par erreur. </w:t>
      </w:r>
    </w:p>
    <w:p w14:paraId="19F20848" w14:textId="77777777" w:rsidR="00973D99" w:rsidRPr="00837222" w:rsidRDefault="00973D99" w:rsidP="00492C4E">
      <w:pPr>
        <w:spacing w:after="0"/>
        <w:jc w:val="both"/>
        <w:rPr>
          <w:rFonts w:eastAsia="新細明體" w:cs="Times New Roman"/>
          <w:lang w:val="fr-FR" w:eastAsia="fr-FR"/>
        </w:rPr>
      </w:pPr>
    </w:p>
    <w:p w14:paraId="6FA82B6E" w14:textId="77777777" w:rsidR="00837222" w:rsidRPr="00837222" w:rsidRDefault="00FE71F6" w:rsidP="00492C4E">
      <w:pPr>
        <w:spacing w:after="0"/>
        <w:jc w:val="both"/>
        <w:rPr>
          <w:rFonts w:eastAsia="新細明體" w:cs="Times New Roman"/>
          <w:lang w:val="fr-FR" w:eastAsia="fr-FR"/>
        </w:rPr>
      </w:pPr>
      <w:hyperlink r:id="rId15" w:history="1">
        <w:r w:rsidR="00837222" w:rsidRPr="00837222">
          <w:rPr>
            <w:rFonts w:eastAsia="新細明體" w:cs="Times New Roman"/>
            <w:color w:val="0000FF"/>
            <w:u w:val="single"/>
            <w:lang w:val="fr-FR" w:eastAsia="fr-FR"/>
          </w:rPr>
          <w:t>條例</w:t>
        </w:r>
        <w:r w:rsidR="00837222" w:rsidRPr="00837222">
          <w:rPr>
            <w:rFonts w:eastAsia="新細明體" w:cs="Times New Roman"/>
            <w:color w:val="0000FF"/>
            <w:u w:val="single"/>
            <w:lang w:val="fr-FR" w:eastAsia="fr-FR"/>
          </w:rPr>
          <w:t xml:space="preserve">/tiaoli 1 </w:t>
        </w:r>
      </w:hyperlink>
    </w:p>
    <w:p w14:paraId="21971EFD" w14:textId="77777777" w:rsidR="00837222" w:rsidRPr="00837222" w:rsidRDefault="00837222" w:rsidP="00492C4E">
      <w:pPr>
        <w:spacing w:after="0"/>
        <w:jc w:val="both"/>
        <w:rPr>
          <w:rFonts w:eastAsia="新細明體" w:cs="Times New Roman"/>
          <w:lang w:val="fr-FR" w:eastAsia="fr-FR"/>
        </w:rPr>
      </w:pPr>
      <w:r w:rsidRPr="00837222">
        <w:rPr>
          <w:rFonts w:eastAsia="新細明體" w:cs="Times New Roman"/>
          <w:lang w:val="fr-FR" w:eastAsia="fr-FR"/>
        </w:rPr>
        <w:t>引</w:t>
      </w:r>
      <w:r w:rsidRPr="00837222">
        <w:rPr>
          <w:rFonts w:eastAsia="新細明體" w:cs="Times New Roman"/>
          <w:lang w:val="fr-FR" w:eastAsia="fr-FR"/>
        </w:rPr>
        <w:t xml:space="preserve"> </w:t>
      </w:r>
      <w:r w:rsidRPr="00837222">
        <w:rPr>
          <w:rFonts w:eastAsia="新細明體" w:cs="Times New Roman"/>
          <w:lang w:val="fr-FR" w:eastAsia="fr-FR"/>
        </w:rPr>
        <w:t>用律例如律內數事共一條，全引恐有不合者，許其止引所犯本罪。若一條止斷一事，不得任意刪減，以致罪有出入，其律例無可引用，援引別條比附者，刑部會同三</w:t>
      </w:r>
      <w:r w:rsidRPr="00837222">
        <w:rPr>
          <w:rFonts w:eastAsia="新細明體" w:cs="Times New Roman"/>
          <w:lang w:val="fr-FR" w:eastAsia="fr-FR"/>
        </w:rPr>
        <w:t xml:space="preserve"> </w:t>
      </w:r>
      <w:r w:rsidRPr="00837222">
        <w:rPr>
          <w:rFonts w:eastAsia="新細明體" w:cs="Times New Roman"/>
          <w:lang w:val="fr-FR" w:eastAsia="fr-FR"/>
        </w:rPr>
        <w:t>法司公同議定罪名，於疏內聲明「律無正條，今比照某律、某例科斷，或比照某律某例加一等、減一等科斷」詳細奏明，恭候諭旨遵行。若律例本有正條，</w:t>
      </w:r>
      <w:r w:rsidRPr="00486455">
        <w:rPr>
          <w:rFonts w:eastAsia="新細明體" w:cs="Times New Roman"/>
          <w:b/>
          <w:lang w:val="fr-FR" w:eastAsia="fr-FR"/>
        </w:rPr>
        <w:t>承審官</w:t>
      </w:r>
      <w:r w:rsidRPr="00837222">
        <w:rPr>
          <w:rFonts w:eastAsia="新細明體" w:cs="Times New Roman"/>
          <w:lang w:val="fr-FR" w:eastAsia="fr-FR"/>
        </w:rPr>
        <w:t>任</w:t>
      </w:r>
      <w:r w:rsidRPr="00837222">
        <w:rPr>
          <w:rFonts w:eastAsia="新細明體" w:cs="Times New Roman"/>
          <w:lang w:val="fr-FR" w:eastAsia="fr-FR"/>
        </w:rPr>
        <w:t xml:space="preserve"> </w:t>
      </w:r>
      <w:r w:rsidRPr="00837222">
        <w:rPr>
          <w:rFonts w:eastAsia="新細明體" w:cs="Times New Roman"/>
          <w:lang w:val="fr-FR" w:eastAsia="fr-FR"/>
        </w:rPr>
        <w:t>意刪減，以致情罪不符，及故意出入人罪，不行引用正條，比照別條，以致可輕可重者，該堂官查出即將承審之司員指名題參，書吏嚴拿究審，各按本律治罪。其應</w:t>
      </w:r>
      <w:r w:rsidRPr="00837222">
        <w:rPr>
          <w:rFonts w:eastAsia="新細明體" w:cs="Times New Roman"/>
          <w:lang w:val="fr-FR" w:eastAsia="fr-FR"/>
        </w:rPr>
        <w:t xml:space="preserve"> </w:t>
      </w:r>
      <w:r w:rsidRPr="00837222">
        <w:rPr>
          <w:rFonts w:eastAsia="新細明體" w:cs="Times New Roman"/>
          <w:lang w:val="fr-FR" w:eastAsia="fr-FR"/>
        </w:rPr>
        <w:t>會三法司定擬者，若刑部引例不確，許院、寺自行查明律例改正。倘院、寺駁改猶未允協，三法司堂官會同妥議。如院、寺扶同朦混，或草率疏忽，別經發覺，將</w:t>
      </w:r>
      <w:r w:rsidRPr="00837222">
        <w:rPr>
          <w:rFonts w:eastAsia="新細明體" w:cs="Times New Roman"/>
          <w:lang w:val="fr-FR" w:eastAsia="fr-FR"/>
        </w:rPr>
        <w:t xml:space="preserve"> </w:t>
      </w:r>
      <w:r w:rsidRPr="00837222">
        <w:rPr>
          <w:rFonts w:eastAsia="新細明體" w:cs="Times New Roman"/>
          <w:lang w:val="fr-FR" w:eastAsia="fr-FR"/>
        </w:rPr>
        <w:t>院、寺官員一併交部議處。</w:t>
      </w:r>
    </w:p>
    <w:p w14:paraId="569FD6B9" w14:textId="77777777" w:rsidR="00837222" w:rsidRPr="00837222" w:rsidRDefault="00837222" w:rsidP="00492C4E">
      <w:pPr>
        <w:spacing w:after="0"/>
        <w:jc w:val="both"/>
        <w:rPr>
          <w:rFonts w:eastAsia="新細明體" w:cs="Times New Roman"/>
          <w:lang w:val="fr-FR" w:eastAsia="fr-FR"/>
        </w:rPr>
      </w:pPr>
    </w:p>
    <w:p w14:paraId="65CB1E98" w14:textId="0FFE65A4" w:rsidR="0031395F" w:rsidRDefault="00973D99" w:rsidP="00492C4E">
      <w:pPr>
        <w:spacing w:after="0"/>
        <w:jc w:val="both"/>
        <w:rPr>
          <w:rFonts w:eastAsia="新細明體" w:cs="Times New Roman"/>
          <w:lang w:val="fr-FR"/>
        </w:rPr>
      </w:pPr>
      <w:r>
        <w:rPr>
          <w:rFonts w:eastAsia="新細明體" w:cs="Times New Roman"/>
          <w:lang w:val="fr-FR" w:eastAsia="fr-FR"/>
        </w:rPr>
        <w:t xml:space="preserve">Lorsqu’on cite un article du code, si un même article prévoit plusieurs cas de sorte qu’il est à craindre qu’une citation intégrale soit inadaptée, il est permis de ne citer que ce qui correspond à l’infraction commise. </w:t>
      </w:r>
      <w:r w:rsidR="00793DDA">
        <w:rPr>
          <w:rFonts w:eastAsia="新細明體" w:cs="Times New Roman"/>
          <w:lang w:val="fr-FR" w:eastAsia="fr-FR"/>
        </w:rPr>
        <w:t xml:space="preserve">Mais si l’article ne porte jugement que sur un seul cas, il est interdit d’ajouter ou retrancher à sa guise, au risque de </w:t>
      </w:r>
      <w:r w:rsidR="00793DDA" w:rsidRPr="00793DDA">
        <w:rPr>
          <w:rFonts w:eastAsia="新細明體" w:cs="Times New Roman"/>
          <w:b/>
          <w:lang w:val="fr-FR" w:eastAsia="fr-FR"/>
        </w:rPr>
        <w:t>prononcer une sentence erronée</w:t>
      </w:r>
      <w:r w:rsidR="00793DDA">
        <w:rPr>
          <w:rFonts w:eastAsia="新細明體" w:cs="Times New Roman"/>
          <w:lang w:val="fr-FR" w:eastAsia="fr-FR"/>
        </w:rPr>
        <w:t xml:space="preserve">. Lorsqu’aucun article </w:t>
      </w:r>
      <w:r w:rsidR="00793DDA" w:rsidRPr="00793DDA">
        <w:rPr>
          <w:rFonts w:eastAsia="新細明體" w:cs="Times New Roman"/>
          <w:b/>
          <w:lang w:val="fr-FR" w:eastAsia="fr-FR"/>
        </w:rPr>
        <w:t xml:space="preserve">ne </w:t>
      </w:r>
      <w:r w:rsidR="0032752E">
        <w:rPr>
          <w:rFonts w:eastAsia="新細明體" w:cs="Times New Roman"/>
          <w:b/>
          <w:lang w:val="fr-FR" w:eastAsia="fr-FR"/>
        </w:rPr>
        <w:t>peut s’appliquer</w:t>
      </w:r>
      <w:r w:rsidR="00793DDA">
        <w:rPr>
          <w:rFonts w:eastAsia="新細明體" w:cs="Times New Roman"/>
          <w:lang w:val="fr-FR" w:eastAsia="fr-FR"/>
        </w:rPr>
        <w:t xml:space="preserve"> (lit. ne peut être cité), et qu’il faut citer un autre article par analogie, le ministère des Peines doit </w:t>
      </w:r>
      <w:r w:rsidR="00793DDA">
        <w:rPr>
          <w:rFonts w:eastAsia="新細明體" w:cs="Times New Roman"/>
          <w:b/>
          <w:lang w:val="fr-FR" w:eastAsia="fr-FR"/>
        </w:rPr>
        <w:t>convoquer une réunion d</w:t>
      </w:r>
      <w:r w:rsidR="00793DDA" w:rsidRPr="00793DDA">
        <w:rPr>
          <w:rFonts w:eastAsia="新細明體" w:cs="Times New Roman"/>
          <w:b/>
          <w:lang w:val="fr-FR" w:eastAsia="fr-FR"/>
        </w:rPr>
        <w:t>es Trois cours</w:t>
      </w:r>
      <w:r w:rsidR="00793DDA">
        <w:rPr>
          <w:rFonts w:eastAsia="新細明體" w:cs="Times New Roman"/>
          <w:b/>
          <w:lang w:val="fr-FR" w:eastAsia="fr-FR"/>
        </w:rPr>
        <w:t xml:space="preserve"> </w:t>
      </w:r>
      <w:r w:rsidR="00E77CE8">
        <w:rPr>
          <w:rFonts w:eastAsia="新細明體" w:cs="Times New Roman"/>
          <w:b/>
          <w:lang w:val="fr-FR" w:eastAsia="fr-FR"/>
        </w:rPr>
        <w:t xml:space="preserve">de justice </w:t>
      </w:r>
      <w:r w:rsidR="00793DDA">
        <w:rPr>
          <w:rFonts w:eastAsia="新細明體" w:cs="Times New Roman"/>
          <w:lang w:val="fr-FR" w:eastAsia="fr-FR"/>
        </w:rPr>
        <w:t xml:space="preserve">afin de délibérer et ce confirmer cette sentence. Le rapport soumettant la sentence doit annoncer clairement : « En l’absence d’un article s’appliquant exactement, nous avons établi la sentence </w:t>
      </w:r>
      <w:r w:rsidR="00793DDA" w:rsidRPr="00793DDA">
        <w:rPr>
          <w:rFonts w:eastAsia="新細明體" w:cs="Times New Roman"/>
          <w:b/>
          <w:lang w:val="fr-FR" w:eastAsia="fr-FR"/>
        </w:rPr>
        <w:t>en référence</w:t>
      </w:r>
      <w:r w:rsidR="00793DDA">
        <w:rPr>
          <w:rFonts w:eastAsia="新細明體" w:cs="Times New Roman"/>
          <w:b/>
          <w:lang w:val="fr-FR" w:eastAsia="fr-FR"/>
        </w:rPr>
        <w:t xml:space="preserve"> (par analogie ?)</w:t>
      </w:r>
      <w:r w:rsidR="00793DDA">
        <w:rPr>
          <w:rFonts w:eastAsia="新細明體" w:cs="Times New Roman"/>
          <w:lang w:val="fr-FR" w:eastAsia="fr-FR"/>
        </w:rPr>
        <w:t xml:space="preserve"> à tel article, ou à tel article complémentaire », ou « nous avons aggravé ou allégé la sentence </w:t>
      </w:r>
      <w:r w:rsidR="00793DDA" w:rsidRPr="00793DDA">
        <w:rPr>
          <w:rFonts w:eastAsia="新細明體" w:cs="Times New Roman"/>
          <w:b/>
          <w:lang w:val="fr-FR" w:eastAsia="fr-FR"/>
        </w:rPr>
        <w:t>en référence</w:t>
      </w:r>
      <w:r w:rsidR="00793DDA">
        <w:rPr>
          <w:rFonts w:eastAsia="新細明體" w:cs="Times New Roman"/>
          <w:b/>
          <w:lang w:val="fr-FR" w:eastAsia="fr-FR"/>
        </w:rPr>
        <w:t xml:space="preserve"> (par analogie ?) </w:t>
      </w:r>
      <w:r w:rsidR="00793DDA">
        <w:rPr>
          <w:rFonts w:eastAsia="新細明體" w:cs="Times New Roman"/>
          <w:lang w:val="fr-FR" w:eastAsia="fr-FR"/>
        </w:rPr>
        <w:t xml:space="preserve"> à tel article ou à tel article </w:t>
      </w:r>
      <w:r w:rsidR="0032752E">
        <w:rPr>
          <w:rFonts w:eastAsia="新細明體" w:cs="Times New Roman"/>
          <w:lang w:val="fr-FR" w:eastAsia="fr-FR"/>
        </w:rPr>
        <w:t xml:space="preserve">complémentaire », et être transmis dans un </w:t>
      </w:r>
      <w:r w:rsidR="00793DDA">
        <w:rPr>
          <w:rFonts w:eastAsia="新細明體" w:cs="Times New Roman"/>
          <w:lang w:val="fr-FR" w:eastAsia="fr-FR"/>
        </w:rPr>
        <w:t>mémoire</w:t>
      </w:r>
      <w:r w:rsidR="0032752E">
        <w:rPr>
          <w:rFonts w:eastAsia="新細明體" w:cs="Times New Roman"/>
          <w:lang w:val="fr-FR" w:eastAsia="fr-FR"/>
        </w:rPr>
        <w:t xml:space="preserve"> très détaillé</w:t>
      </w:r>
      <w:r w:rsidR="00793DDA">
        <w:rPr>
          <w:rFonts w:eastAsia="新細明體" w:cs="Times New Roman"/>
          <w:lang w:val="fr-FR" w:eastAsia="fr-FR"/>
        </w:rPr>
        <w:t xml:space="preserve"> </w:t>
      </w:r>
      <w:r w:rsidR="0032752E">
        <w:rPr>
          <w:rFonts w:eastAsia="新細明體" w:cs="Times New Roman"/>
          <w:lang w:val="fr-FR" w:eastAsia="fr-FR"/>
        </w:rPr>
        <w:t xml:space="preserve">à l’empereur </w:t>
      </w:r>
      <w:r w:rsidR="00793DDA">
        <w:rPr>
          <w:rFonts w:eastAsia="新細明體" w:cs="Times New Roman"/>
          <w:lang w:val="fr-FR" w:eastAsia="fr-FR"/>
        </w:rPr>
        <w:t>dans l’attente d’un</w:t>
      </w:r>
      <w:r w:rsidR="0032752E">
        <w:rPr>
          <w:rFonts w:eastAsia="新細明體" w:cs="Times New Roman"/>
          <w:lang w:val="fr-FR" w:eastAsia="fr-FR"/>
        </w:rPr>
        <w:t>e confirmation par rescrit</w:t>
      </w:r>
      <w:r w:rsidR="00793DDA">
        <w:rPr>
          <w:rFonts w:eastAsia="新細明體" w:cs="Times New Roman"/>
          <w:lang w:val="fr-FR" w:eastAsia="fr-FR"/>
        </w:rPr>
        <w:t>.</w:t>
      </w:r>
      <w:r w:rsidR="0001486F">
        <w:rPr>
          <w:rFonts w:eastAsia="新細明體" w:cs="Times New Roman"/>
          <w:lang w:val="fr-FR" w:eastAsia="fr-FR"/>
        </w:rPr>
        <w:t xml:space="preserve"> S’</w:t>
      </w:r>
      <w:r w:rsidR="00486455">
        <w:rPr>
          <w:rFonts w:eastAsia="新細明體" w:cs="Times New Roman"/>
          <w:lang w:val="fr-FR" w:eastAsia="fr-FR"/>
        </w:rPr>
        <w:t>il existe</w:t>
      </w:r>
      <w:r w:rsidR="0001486F">
        <w:rPr>
          <w:rFonts w:eastAsia="新細明體" w:cs="Times New Roman"/>
          <w:lang w:val="fr-FR" w:eastAsia="fr-FR"/>
        </w:rPr>
        <w:t xml:space="preserve"> en fait un article correspondant à l’infraction, </w:t>
      </w:r>
      <w:r w:rsidR="00486455">
        <w:rPr>
          <w:rFonts w:eastAsia="新細明體" w:cs="Times New Roman"/>
          <w:lang w:val="fr-FR" w:eastAsia="fr-FR"/>
        </w:rPr>
        <w:t xml:space="preserve">que le magistrat </w:t>
      </w:r>
      <w:r w:rsidR="00486455" w:rsidRPr="00486455">
        <w:rPr>
          <w:rFonts w:eastAsia="新細明體" w:cs="Times New Roman"/>
          <w:b/>
          <w:lang w:val="fr-FR" w:eastAsia="fr-FR"/>
        </w:rPr>
        <w:t>instructeur ?</w:t>
      </w:r>
      <w:r w:rsidR="00486455">
        <w:rPr>
          <w:rFonts w:eastAsia="新細明體" w:cs="Times New Roman"/>
          <w:b/>
          <w:lang w:val="fr-FR" w:eastAsia="fr-FR"/>
        </w:rPr>
        <w:t xml:space="preserve"> (</w:t>
      </w:r>
      <w:r w:rsidR="00486455" w:rsidRPr="00486455">
        <w:rPr>
          <w:rFonts w:eastAsia="新細明體" w:cs="Times New Roman"/>
          <w:b/>
          <w:lang w:val="fr-FR" w:eastAsia="fr-FR"/>
        </w:rPr>
        <w:t>承審官</w:t>
      </w:r>
      <w:r w:rsidR="00486455">
        <w:rPr>
          <w:rFonts w:eastAsia="新細明體" w:cs="Times New Roman" w:hint="eastAsia"/>
          <w:b/>
          <w:lang w:val="fr-FR"/>
        </w:rPr>
        <w:t>)</w:t>
      </w:r>
      <w:r w:rsidR="00486455">
        <w:rPr>
          <w:rFonts w:eastAsia="新細明體" w:cs="Times New Roman"/>
          <w:b/>
          <w:lang w:val="fr-FR"/>
        </w:rPr>
        <w:t xml:space="preserve"> </w:t>
      </w:r>
      <w:r w:rsidR="00486455" w:rsidRPr="00486455">
        <w:rPr>
          <w:rFonts w:eastAsia="新細明體" w:cs="Times New Roman"/>
          <w:lang w:val="fr-FR"/>
        </w:rPr>
        <w:t xml:space="preserve">a pris </w:t>
      </w:r>
      <w:r w:rsidR="00486455">
        <w:rPr>
          <w:rFonts w:eastAsia="新細明體" w:cs="Times New Roman"/>
          <w:lang w:val="fr-FR"/>
        </w:rPr>
        <w:t>la liberté de modifier ou de citer incomplètement de sort</w:t>
      </w:r>
      <w:r w:rsidR="0031395F">
        <w:rPr>
          <w:rFonts w:eastAsia="新細明體" w:cs="Times New Roman"/>
          <w:lang w:val="fr-FR"/>
        </w:rPr>
        <w:t>e que la sentence ne correspond pas aux faits ;</w:t>
      </w:r>
      <w:r w:rsidR="00615DF8">
        <w:rPr>
          <w:rFonts w:eastAsia="新細明體" w:cs="Times New Roman"/>
          <w:lang w:val="fr-FR"/>
        </w:rPr>
        <w:t xml:space="preserve"> ou bien dans l’intention délibérée d’acquitter ou condamner</w:t>
      </w:r>
      <w:r w:rsidR="0031395F">
        <w:rPr>
          <w:rFonts w:eastAsia="新細明體" w:cs="Times New Roman"/>
          <w:lang w:val="fr-FR"/>
        </w:rPr>
        <w:t xml:space="preserve"> à tort, </w:t>
      </w:r>
      <w:r w:rsidR="00615DF8">
        <w:rPr>
          <w:rFonts w:eastAsia="新細明體" w:cs="Times New Roman"/>
          <w:lang w:val="fr-FR"/>
        </w:rPr>
        <w:t>on ne cite pas l’article approprié, mais on en cite un autre</w:t>
      </w:r>
      <w:r w:rsidR="00615DF8" w:rsidRPr="00615DF8">
        <w:rPr>
          <w:rFonts w:eastAsia="新細明體" w:cs="Times New Roman"/>
          <w:b/>
          <w:lang w:val="fr-FR"/>
        </w:rPr>
        <w:t xml:space="preserve"> en référence (par analogie)</w:t>
      </w:r>
      <w:r w:rsidR="00615DF8">
        <w:rPr>
          <w:rFonts w:eastAsia="新細明體" w:cs="Times New Roman"/>
          <w:b/>
          <w:lang w:val="fr-FR"/>
        </w:rPr>
        <w:t xml:space="preserve">, </w:t>
      </w:r>
      <w:r w:rsidR="00615DF8">
        <w:rPr>
          <w:rFonts w:eastAsia="新細明體" w:cs="Times New Roman"/>
          <w:lang w:val="fr-FR"/>
        </w:rPr>
        <w:t xml:space="preserve">de manière à alléger ou à aggraver la sentence, l’autorité judiciaire chargée de superviser le magistrat instructeur doit indiquer le ou les noms des fonctionnaires et des commis subalternes qui seront mis aux arrêts de rigueur et soumis à une </w:t>
      </w:r>
    </w:p>
    <w:p w14:paraId="78EF4494" w14:textId="081E459E" w:rsidR="00973D99" w:rsidRDefault="00615DF8" w:rsidP="00492C4E">
      <w:pPr>
        <w:spacing w:after="0"/>
        <w:jc w:val="both"/>
        <w:rPr>
          <w:rFonts w:eastAsia="新細明體" w:cs="Times New Roman"/>
          <w:lang w:val="fr-FR"/>
        </w:rPr>
      </w:pPr>
      <w:r>
        <w:rPr>
          <w:rFonts w:eastAsia="新細明體" w:cs="Times New Roman"/>
          <w:lang w:val="fr-FR" w:eastAsia="fr-FR"/>
        </w:rPr>
        <w:t>enquête, à l’issue de laquelle ils seront condamnés selon les dispositions prévues par le code pénal pour chacun selon son statut</w:t>
      </w:r>
      <w:r w:rsidR="004E1C9D">
        <w:rPr>
          <w:rFonts w:eastAsia="新細明體" w:cs="Times New Roman"/>
          <w:lang w:val="fr-FR" w:eastAsia="fr-FR"/>
        </w:rPr>
        <w:t xml:space="preserve"> respectif</w:t>
      </w:r>
      <w:r>
        <w:rPr>
          <w:rFonts w:eastAsia="新細明體" w:cs="Times New Roman"/>
          <w:lang w:val="fr-FR" w:eastAsia="fr-FR"/>
        </w:rPr>
        <w:t xml:space="preserve">. </w:t>
      </w:r>
      <w:r w:rsidR="004E1C9D">
        <w:rPr>
          <w:rFonts w:eastAsia="新細明體" w:cs="Times New Roman"/>
          <w:lang w:val="fr-FR" w:eastAsia="fr-FR"/>
        </w:rPr>
        <w:t xml:space="preserve">Lorsqu’il faut réunir les Trois cours, si le Ministère des Peines cite </w:t>
      </w:r>
      <w:r w:rsidR="00910A0E" w:rsidRPr="00910A0E">
        <w:rPr>
          <w:rFonts w:eastAsia="新細明體" w:cs="Times New Roman"/>
          <w:b/>
          <w:lang w:val="fr-FR" w:eastAsia="fr-FR"/>
        </w:rPr>
        <w:t>un article complémentaire de manière inappropriée</w:t>
      </w:r>
      <w:r w:rsidR="004E1C9D">
        <w:rPr>
          <w:rFonts w:eastAsia="新細明體" w:cs="Times New Roman"/>
          <w:lang w:val="fr-FR" w:eastAsia="fr-FR"/>
        </w:rPr>
        <w:t xml:space="preserve"> ( </w:t>
      </w:r>
      <w:r w:rsidR="00910A0E">
        <w:rPr>
          <w:rFonts w:eastAsia="新細明體" w:cs="Times New Roman"/>
          <w:lang w:val="fr-FR" w:eastAsia="fr-FR"/>
        </w:rPr>
        <w:t xml:space="preserve">ou un précédent qui n’a pas été confirmé </w:t>
      </w:r>
      <w:r w:rsidR="004E1C9D">
        <w:rPr>
          <w:rFonts w:eastAsia="新細明體" w:cs="Times New Roman"/>
          <w:lang w:val="fr-FR" w:eastAsia="fr-FR"/>
        </w:rPr>
        <w:t xml:space="preserve">? </w:t>
      </w:r>
      <w:r w:rsidR="004E1C9D">
        <w:rPr>
          <w:rFonts w:eastAsia="新細明體" w:cs="Times New Roman" w:hint="eastAsia"/>
          <w:lang w:val="fr-FR"/>
        </w:rPr>
        <w:t>引例不確</w:t>
      </w:r>
      <w:r w:rsidR="004E1C9D">
        <w:rPr>
          <w:rFonts w:eastAsia="新細明體" w:cs="Times New Roman"/>
          <w:lang w:val="fr-FR"/>
        </w:rPr>
        <w:t>), le Censorat et la</w:t>
      </w:r>
      <w:r w:rsidR="002B468A">
        <w:rPr>
          <w:rFonts w:eastAsia="新細明體" w:cs="Times New Roman"/>
          <w:lang w:val="fr-FR"/>
        </w:rPr>
        <w:t xml:space="preserve"> Cour de révision sont autorisé</w:t>
      </w:r>
      <w:r w:rsidR="004E1C9D">
        <w:rPr>
          <w:rFonts w:eastAsia="新細明體" w:cs="Times New Roman"/>
          <w:lang w:val="fr-FR"/>
        </w:rPr>
        <w:t xml:space="preserve">s </w:t>
      </w:r>
      <w:r w:rsidR="00910A0E">
        <w:rPr>
          <w:rFonts w:eastAsia="新細明體" w:cs="Times New Roman"/>
          <w:lang w:val="fr-FR"/>
        </w:rPr>
        <w:t xml:space="preserve">à vérifier de leur propre chef dans les articles et articles complémentaires du code pour corriger l’erreur. Si une fois cette correction effectuée par le Censorat et la Cour de révision il subsiste un désaccord, les directeurs des Trois cours se réunissent pour délibérer. </w:t>
      </w:r>
      <w:r w:rsidR="00A77C68">
        <w:rPr>
          <w:rFonts w:eastAsia="新細明體" w:cs="Times New Roman"/>
          <w:lang w:val="fr-FR"/>
        </w:rPr>
        <w:t xml:space="preserve">Si le Censorat et la Cour de révision s’entendent pour semer le trouble (lit. pour tromper </w:t>
      </w:r>
      <w:r w:rsidR="00A77C68">
        <w:rPr>
          <w:rFonts w:eastAsia="新細明體" w:cs="Times New Roman" w:hint="eastAsia"/>
          <w:lang w:val="fr-FR"/>
        </w:rPr>
        <w:t>蒙混</w:t>
      </w:r>
      <w:r w:rsidR="00A77C68">
        <w:rPr>
          <w:rFonts w:eastAsia="新細明體" w:cs="Times New Roman"/>
          <w:lang w:val="fr-FR"/>
        </w:rPr>
        <w:t xml:space="preserve">), ou sont négligents et brouillons, tous les fonctionnaires de ces deux cours sont transférés au ministère des Peines qui délibère sur les sanctions à leur infliger. </w:t>
      </w:r>
    </w:p>
    <w:p w14:paraId="01AF9BC3" w14:textId="77777777" w:rsidR="00973D99" w:rsidRPr="00053E4D" w:rsidRDefault="00973D99" w:rsidP="00492C4E">
      <w:pPr>
        <w:spacing w:after="0"/>
        <w:jc w:val="both"/>
        <w:rPr>
          <w:rFonts w:eastAsia="新細明體" w:cs="Times New Roman"/>
          <w:lang w:val="fr-FR" w:eastAsia="fr-FR"/>
        </w:rPr>
      </w:pPr>
    </w:p>
    <w:p w14:paraId="34AF9D22" w14:textId="77777777" w:rsidR="00053E4D" w:rsidRPr="00053E4D" w:rsidRDefault="00FE71F6" w:rsidP="00492C4E">
      <w:pPr>
        <w:pStyle w:val="NormalWeb"/>
        <w:spacing w:before="0" w:beforeAutospacing="0" w:after="0" w:afterAutospacing="0"/>
        <w:ind w:left="1230"/>
        <w:jc w:val="both"/>
        <w:rPr>
          <w:sz w:val="24"/>
          <w:szCs w:val="24"/>
        </w:rPr>
      </w:pPr>
      <w:hyperlink r:id="rId16" w:history="1">
        <w:r w:rsidR="00053E4D" w:rsidRPr="00053E4D">
          <w:rPr>
            <w:rStyle w:val="Lienhypertexte"/>
            <w:sz w:val="24"/>
            <w:szCs w:val="24"/>
          </w:rPr>
          <w:t>律</w:t>
        </w:r>
        <w:r w:rsidR="00053E4D" w:rsidRPr="00053E4D">
          <w:rPr>
            <w:rStyle w:val="Lienhypertexte"/>
            <w:sz w:val="24"/>
            <w:szCs w:val="24"/>
          </w:rPr>
          <w:t xml:space="preserve">/lü 35 | Bentiao bieyou zuiming </w:t>
        </w:r>
        <w:r w:rsidR="00053E4D" w:rsidRPr="00053E4D">
          <w:rPr>
            <w:rStyle w:val="Lienhypertexte"/>
            <w:sz w:val="24"/>
            <w:szCs w:val="24"/>
          </w:rPr>
          <w:t>本條別有罪名</w:t>
        </w:r>
      </w:hyperlink>
    </w:p>
    <w:p w14:paraId="502BE8E8" w14:textId="77777777" w:rsidR="00053E4D" w:rsidRPr="00AC59AE" w:rsidRDefault="00053E4D" w:rsidP="00492C4E">
      <w:pPr>
        <w:pStyle w:val="NormalWeb"/>
        <w:jc w:val="both"/>
        <w:rPr>
          <w:rFonts w:ascii="細明體" w:eastAsia="細明體" w:hAnsi="細明體"/>
          <w:sz w:val="24"/>
          <w:szCs w:val="24"/>
        </w:rPr>
      </w:pPr>
      <w:r w:rsidRPr="00AC59AE">
        <w:rPr>
          <w:rFonts w:ascii="細明體" w:eastAsia="細明體" w:hAnsi="細明體"/>
          <w:sz w:val="24"/>
          <w:szCs w:val="24"/>
        </w:rPr>
        <w:t>凡本條自有罪名，與</w:t>
      </w:r>
      <w:r w:rsidRPr="00AC59AE">
        <w:rPr>
          <w:rFonts w:ascii="細明體" w:eastAsia="細明體" w:hAnsi="細明體"/>
          <w:color w:val="5555AA"/>
          <w:sz w:val="24"/>
          <w:szCs w:val="24"/>
        </w:rPr>
        <w:t>名例</w:t>
      </w:r>
      <w:r w:rsidRPr="00AC59AE">
        <w:rPr>
          <w:rFonts w:ascii="細明體" w:eastAsia="細明體" w:hAnsi="細明體"/>
          <w:sz w:val="24"/>
          <w:szCs w:val="24"/>
        </w:rPr>
        <w:t>罪不同者，依本條科斷。</w:t>
      </w:r>
    </w:p>
    <w:p w14:paraId="3F92F807" w14:textId="77777777" w:rsidR="00053E4D" w:rsidRPr="00AC59AE" w:rsidRDefault="00053E4D" w:rsidP="00492C4E">
      <w:pPr>
        <w:pStyle w:val="NormalWeb"/>
        <w:jc w:val="both"/>
        <w:rPr>
          <w:rFonts w:ascii="細明體" w:eastAsia="細明體" w:hAnsi="細明體"/>
          <w:sz w:val="24"/>
          <w:szCs w:val="24"/>
        </w:rPr>
      </w:pPr>
      <w:r w:rsidRPr="00AC59AE">
        <w:rPr>
          <w:rFonts w:ascii="細明體" w:eastAsia="細明體" w:hAnsi="細明體"/>
          <w:sz w:val="24"/>
          <w:szCs w:val="24"/>
        </w:rPr>
        <w:t>若本條雖有罪名，其</w:t>
      </w:r>
      <w:r w:rsidRPr="00AC59AE">
        <w:rPr>
          <w:rFonts w:ascii="細明體" w:eastAsia="細明體" w:hAnsi="細明體"/>
          <w:color w:val="3370FF"/>
          <w:sz w:val="24"/>
          <w:szCs w:val="24"/>
          <w:vertAlign w:val="subscript"/>
        </w:rPr>
        <w:t>心</w:t>
      </w:r>
      <w:r w:rsidRPr="00AC59AE">
        <w:rPr>
          <w:rFonts w:ascii="細明體" w:eastAsia="細明體" w:hAnsi="細明體"/>
          <w:sz w:val="24"/>
          <w:szCs w:val="24"/>
        </w:rPr>
        <w:t>有所規避罪重者，</w:t>
      </w:r>
      <w:r w:rsidRPr="00B12AC5">
        <w:rPr>
          <w:rFonts w:ascii="細明體" w:eastAsia="細明體" w:hAnsi="細明體"/>
          <w:color w:val="3370FF"/>
          <w:sz w:val="28"/>
          <w:szCs w:val="28"/>
          <w:vertAlign w:val="subscript"/>
        </w:rPr>
        <w:t>又不泥於本條</w:t>
      </w:r>
      <w:r w:rsidRPr="00AC59AE">
        <w:rPr>
          <w:rFonts w:ascii="細明體" w:eastAsia="細明體" w:hAnsi="細明體"/>
          <w:color w:val="3370FF"/>
          <w:sz w:val="24"/>
          <w:szCs w:val="24"/>
          <w:vertAlign w:val="subscript"/>
        </w:rPr>
        <w:t>。</w:t>
      </w:r>
      <w:r w:rsidRPr="00AC59AE">
        <w:rPr>
          <w:rFonts w:ascii="細明體" w:eastAsia="細明體" w:hAnsi="細明體"/>
          <w:sz w:val="24"/>
          <w:szCs w:val="24"/>
        </w:rPr>
        <w:t>自從</w:t>
      </w:r>
      <w:r w:rsidRPr="00B12AC5">
        <w:rPr>
          <w:rFonts w:ascii="細明體" w:eastAsia="細明體" w:hAnsi="細明體"/>
          <w:color w:val="3370FF"/>
          <w:sz w:val="28"/>
          <w:szCs w:val="28"/>
          <w:vertAlign w:val="subscript"/>
        </w:rPr>
        <w:t>所規避之</w:t>
      </w:r>
      <w:r w:rsidRPr="00AC59AE">
        <w:rPr>
          <w:rFonts w:ascii="細明體" w:eastAsia="細明體" w:hAnsi="細明體"/>
          <w:sz w:val="24"/>
          <w:szCs w:val="24"/>
        </w:rPr>
        <w:t>重</w:t>
      </w:r>
      <w:r w:rsidRPr="00AC59AE">
        <w:rPr>
          <w:rFonts w:ascii="細明體" w:eastAsia="細明體" w:hAnsi="細明體"/>
          <w:color w:val="3370FF"/>
          <w:sz w:val="24"/>
          <w:szCs w:val="24"/>
          <w:vertAlign w:val="subscript"/>
        </w:rPr>
        <w:t>罪</w:t>
      </w:r>
      <w:r w:rsidRPr="00AC59AE">
        <w:rPr>
          <w:rFonts w:ascii="細明體" w:eastAsia="細明體" w:hAnsi="細明體"/>
          <w:sz w:val="24"/>
          <w:szCs w:val="24"/>
        </w:rPr>
        <w:t>論。</w:t>
      </w:r>
    </w:p>
    <w:p w14:paraId="04420607" w14:textId="77777777" w:rsidR="00053E4D" w:rsidRPr="00AC59AE" w:rsidRDefault="00053E4D" w:rsidP="00492C4E">
      <w:pPr>
        <w:pStyle w:val="NormalWeb"/>
        <w:jc w:val="both"/>
        <w:rPr>
          <w:rFonts w:ascii="細明體" w:eastAsia="細明體" w:hAnsi="細明體"/>
          <w:sz w:val="24"/>
          <w:szCs w:val="24"/>
        </w:rPr>
      </w:pPr>
      <w:r w:rsidRPr="00AC59AE">
        <w:rPr>
          <w:rFonts w:ascii="細明體" w:eastAsia="細明體" w:hAnsi="細明體"/>
          <w:sz w:val="24"/>
          <w:szCs w:val="24"/>
        </w:rPr>
        <w:t>其本應罪重，而犯時不知者，依凡人論；</w:t>
      </w:r>
      <w:r w:rsidRPr="00AC59AE">
        <w:rPr>
          <w:rFonts w:ascii="細明體" w:eastAsia="細明體" w:hAnsi="細明體"/>
          <w:color w:val="3370FF"/>
          <w:sz w:val="28"/>
          <w:szCs w:val="28"/>
          <w:vertAlign w:val="subscript"/>
        </w:rPr>
        <w:t>謂如叔姪別處生長，素不相識，姪打叔傷，官司推問，始知是叔，止依凡人鬥法。又如別處竊盜，</w:t>
      </w:r>
      <w:r w:rsidRPr="00AC59AE">
        <w:rPr>
          <w:rFonts w:ascii="細明體" w:eastAsia="細明體" w:hAnsi="細明體" w:cs="Kaiti SC Black"/>
          <w:color w:val="3370FF"/>
          <w:sz w:val="28"/>
          <w:szCs w:val="28"/>
          <w:vertAlign w:val="subscript"/>
        </w:rPr>
        <w:t>偷</w:t>
      </w:r>
      <w:r w:rsidRPr="00AC59AE">
        <w:rPr>
          <w:rFonts w:ascii="細明體" w:eastAsia="細明體" w:hAnsi="細明體"/>
          <w:color w:val="3370FF"/>
          <w:sz w:val="28"/>
          <w:szCs w:val="28"/>
          <w:vertAlign w:val="subscript"/>
        </w:rPr>
        <w:t>得大祀神御之物。如此之類，並是犯時不知，止依凡論，同常盜之律。</w:t>
      </w:r>
      <w:r w:rsidRPr="00AC59AE">
        <w:rPr>
          <w:rFonts w:ascii="細明體" w:eastAsia="細明體" w:hAnsi="細明體"/>
          <w:sz w:val="24"/>
          <w:szCs w:val="24"/>
        </w:rPr>
        <w:t>本應輕者，聽從本法。</w:t>
      </w:r>
      <w:r w:rsidRPr="00AC59AE">
        <w:rPr>
          <w:rFonts w:ascii="細明體" w:eastAsia="細明體" w:hAnsi="細明體"/>
          <w:color w:val="3370FF"/>
          <w:sz w:val="24"/>
          <w:szCs w:val="24"/>
          <w:vertAlign w:val="subscript"/>
        </w:rPr>
        <w:t>謂如父不識子，毆打之後，方始得知，止依打子之法，不可以凡毆論。</w:t>
      </w:r>
    </w:p>
    <w:p w14:paraId="0A411C1B" w14:textId="309371B6" w:rsidR="00AC59AE" w:rsidRPr="00AC59AE" w:rsidRDefault="00897EF2" w:rsidP="00492C4E">
      <w:pPr>
        <w:pStyle w:val="NormalWeb"/>
        <w:jc w:val="both"/>
        <w:rPr>
          <w:b/>
          <w:sz w:val="24"/>
          <w:szCs w:val="24"/>
        </w:rPr>
      </w:pPr>
      <w:r>
        <w:rPr>
          <w:b/>
          <w:sz w:val="24"/>
          <w:szCs w:val="24"/>
        </w:rPr>
        <w:t>Articles</w:t>
      </w:r>
      <w:r w:rsidR="00AC59AE" w:rsidRPr="00AC59AE">
        <w:rPr>
          <w:b/>
          <w:sz w:val="24"/>
          <w:szCs w:val="24"/>
        </w:rPr>
        <w:t xml:space="preserve"> prévoyant une peine différente pour la même infraction</w:t>
      </w:r>
      <w:r>
        <w:rPr>
          <w:rStyle w:val="Marquenotebasdepage"/>
          <w:b/>
          <w:sz w:val="24"/>
          <w:szCs w:val="24"/>
        </w:rPr>
        <w:footnoteReference w:id="3"/>
      </w:r>
    </w:p>
    <w:p w14:paraId="22D00F78" w14:textId="7CAFD818" w:rsidR="00091CF4" w:rsidRDefault="00AC59AE" w:rsidP="00492C4E">
      <w:pPr>
        <w:jc w:val="both"/>
        <w:rPr>
          <w:rFonts w:cs="Times New Roman"/>
          <w:lang w:val="fr-FR"/>
        </w:rPr>
      </w:pPr>
      <w:r w:rsidRPr="00AC59AE">
        <w:rPr>
          <w:rFonts w:cs="Times New Roman"/>
          <w:lang w:val="fr-FR"/>
        </w:rPr>
        <w:t xml:space="preserve">Lorsqu’ un </w:t>
      </w:r>
      <w:r w:rsidRPr="00AC59AE">
        <w:rPr>
          <w:rFonts w:cs="Times New Roman"/>
          <w:b/>
          <w:lang w:val="fr-FR"/>
        </w:rPr>
        <w:t xml:space="preserve">article spécial </w:t>
      </w:r>
      <w:r>
        <w:rPr>
          <w:rFonts w:cs="Times New Roman"/>
          <w:lang w:val="fr-FR"/>
        </w:rPr>
        <w:t xml:space="preserve">prévoit une certaine sentence pour une infraction qui diffère de celle qui est prévue dans </w:t>
      </w:r>
      <w:r w:rsidR="00DA07BC">
        <w:rPr>
          <w:rFonts w:cs="Times New Roman"/>
          <w:lang w:val="fr-FR"/>
        </w:rPr>
        <w:t>un article de la</w:t>
      </w:r>
      <w:r>
        <w:rPr>
          <w:rFonts w:cs="Times New Roman"/>
          <w:lang w:val="fr-FR"/>
        </w:rPr>
        <w:t xml:space="preserve"> partie des</w:t>
      </w:r>
      <w:r w:rsidRPr="00AC59AE">
        <w:rPr>
          <w:rFonts w:cs="Times New Roman"/>
          <w:b/>
          <w:lang w:val="fr-FR"/>
        </w:rPr>
        <w:t xml:space="preserve"> « dénominations et des règles »</w:t>
      </w:r>
      <w:r>
        <w:rPr>
          <w:rFonts w:cs="Times New Roman"/>
          <w:lang w:val="fr-FR"/>
        </w:rPr>
        <w:t>, c’est en vertu de l’article spécial qu’on établit la sentence.</w:t>
      </w:r>
      <w:r w:rsidR="00B12AC5">
        <w:rPr>
          <w:rFonts w:cs="Times New Roman"/>
          <w:lang w:val="fr-FR"/>
        </w:rPr>
        <w:t xml:space="preserve">  </w:t>
      </w:r>
    </w:p>
    <w:p w14:paraId="5F345AA5" w14:textId="5EC957EA" w:rsidR="00B12AC5" w:rsidRDefault="00CE1429" w:rsidP="00492C4E">
      <w:pPr>
        <w:jc w:val="both"/>
        <w:rPr>
          <w:rFonts w:cs="Times New Roman"/>
          <w:lang w:val="fr-FR"/>
        </w:rPr>
      </w:pPr>
      <w:r>
        <w:rPr>
          <w:rFonts w:cs="Times New Roman"/>
          <w:lang w:val="fr-FR"/>
        </w:rPr>
        <w:t>Bien qu’</w:t>
      </w:r>
      <w:r w:rsidR="002358FD">
        <w:rPr>
          <w:rFonts w:cs="Times New Roman"/>
          <w:lang w:val="fr-FR"/>
        </w:rPr>
        <w:t xml:space="preserve">un article spécial </w:t>
      </w:r>
      <w:r>
        <w:rPr>
          <w:rFonts w:cs="Times New Roman"/>
          <w:lang w:val="fr-FR"/>
        </w:rPr>
        <w:t xml:space="preserve">prévoie </w:t>
      </w:r>
      <w:r w:rsidR="003234F5">
        <w:rPr>
          <w:rFonts w:cs="Times New Roman"/>
          <w:lang w:val="fr-FR"/>
        </w:rPr>
        <w:t>la</w:t>
      </w:r>
      <w:r>
        <w:rPr>
          <w:rFonts w:cs="Times New Roman"/>
          <w:lang w:val="fr-FR"/>
        </w:rPr>
        <w:t xml:space="preserve"> </w:t>
      </w:r>
      <w:r w:rsidR="003234F5">
        <w:rPr>
          <w:rFonts w:cs="Times New Roman"/>
          <w:lang w:val="fr-FR"/>
        </w:rPr>
        <w:t>peine</w:t>
      </w:r>
      <w:r>
        <w:rPr>
          <w:rFonts w:cs="Times New Roman"/>
          <w:lang w:val="fr-FR"/>
        </w:rPr>
        <w:t xml:space="preserve"> appropriée</w:t>
      </w:r>
      <w:r w:rsidR="00DA07BC">
        <w:rPr>
          <w:rFonts w:cs="Times New Roman"/>
          <w:lang w:val="fr-FR"/>
        </w:rPr>
        <w:t xml:space="preserve">, si </w:t>
      </w:r>
      <w:r>
        <w:rPr>
          <w:rFonts w:cs="Times New Roman"/>
          <w:lang w:val="fr-FR"/>
        </w:rPr>
        <w:t xml:space="preserve">cela est </w:t>
      </w:r>
      <w:r w:rsidRPr="00DA07BC">
        <w:rPr>
          <w:rFonts w:cs="Times New Roman"/>
          <w:color w:val="0000FF"/>
          <w:sz w:val="20"/>
          <w:szCs w:val="20"/>
          <w:lang w:val="fr-FR"/>
        </w:rPr>
        <w:t>sciemment</w:t>
      </w:r>
      <w:r w:rsidR="000D230E">
        <w:rPr>
          <w:rFonts w:cs="Times New Roman"/>
          <w:lang w:val="fr-FR"/>
        </w:rPr>
        <w:t xml:space="preserve"> </w:t>
      </w:r>
      <w:r>
        <w:rPr>
          <w:rFonts w:cs="Times New Roman"/>
          <w:lang w:val="fr-FR"/>
        </w:rPr>
        <w:t xml:space="preserve">utilisé pour </w:t>
      </w:r>
      <w:r w:rsidR="000D230E">
        <w:rPr>
          <w:rFonts w:cs="Times New Roman"/>
          <w:lang w:val="fr-FR"/>
        </w:rPr>
        <w:t xml:space="preserve">éviter une sentence </w:t>
      </w:r>
      <w:r>
        <w:rPr>
          <w:rFonts w:cs="Times New Roman"/>
          <w:lang w:val="fr-FR"/>
        </w:rPr>
        <w:t xml:space="preserve">plus </w:t>
      </w:r>
      <w:r w:rsidR="00DA07BC">
        <w:rPr>
          <w:rFonts w:cs="Times New Roman"/>
          <w:lang w:val="fr-FR"/>
        </w:rPr>
        <w:t xml:space="preserve">sévère, </w:t>
      </w:r>
      <w:r>
        <w:rPr>
          <w:rFonts w:cs="Times New Roman"/>
          <w:color w:val="0000FF"/>
          <w:sz w:val="20"/>
          <w:szCs w:val="20"/>
          <w:lang w:val="fr-FR"/>
        </w:rPr>
        <w:t>il n’y a plus lieu de se restreindre</w:t>
      </w:r>
      <w:r w:rsidR="00DA07BC">
        <w:rPr>
          <w:rFonts w:cs="Times New Roman"/>
          <w:color w:val="0000FF"/>
          <w:sz w:val="20"/>
          <w:szCs w:val="20"/>
          <w:lang w:val="fr-FR"/>
        </w:rPr>
        <w:t xml:space="preserve"> à l’article spécial </w:t>
      </w:r>
      <w:r w:rsidR="002358FD">
        <w:rPr>
          <w:rFonts w:cs="Times New Roman"/>
          <w:lang w:val="fr-FR"/>
        </w:rPr>
        <w:t>on prononce selon l’article prévoyant la</w:t>
      </w:r>
      <w:r w:rsidR="00DA07BC">
        <w:rPr>
          <w:rFonts w:cs="Times New Roman"/>
          <w:lang w:val="fr-FR"/>
        </w:rPr>
        <w:t xml:space="preserve"> peine </w:t>
      </w:r>
      <w:r w:rsidR="002358FD">
        <w:rPr>
          <w:rFonts w:cs="Times New Roman"/>
          <w:lang w:val="fr-FR"/>
        </w:rPr>
        <w:t>la</w:t>
      </w:r>
      <w:r w:rsidR="00DA07BC">
        <w:rPr>
          <w:rFonts w:cs="Times New Roman"/>
          <w:lang w:val="fr-FR"/>
        </w:rPr>
        <w:t xml:space="preserve"> plus sévère </w:t>
      </w:r>
      <w:r w:rsidR="00DA07BC" w:rsidRPr="00DA07BC">
        <w:rPr>
          <w:rFonts w:cs="Times New Roman"/>
          <w:color w:val="0000FF"/>
          <w:sz w:val="20"/>
          <w:szCs w:val="20"/>
          <w:lang w:val="fr-FR"/>
        </w:rPr>
        <w:t>que celle qu</w:t>
      </w:r>
      <w:r w:rsidR="003234F5">
        <w:rPr>
          <w:rFonts w:cs="Times New Roman"/>
          <w:color w:val="0000FF"/>
          <w:sz w:val="20"/>
          <w:szCs w:val="20"/>
          <w:lang w:val="fr-FR"/>
        </w:rPr>
        <w:t>e le criminel</w:t>
      </w:r>
      <w:r w:rsidR="00DA07BC" w:rsidRPr="00DA07BC">
        <w:rPr>
          <w:rFonts w:cs="Times New Roman"/>
          <w:color w:val="0000FF"/>
          <w:sz w:val="20"/>
          <w:szCs w:val="20"/>
          <w:lang w:val="fr-FR"/>
        </w:rPr>
        <w:t xml:space="preserve"> a ainsi cherché à éviter</w:t>
      </w:r>
      <w:r w:rsidR="003234F5">
        <w:rPr>
          <w:rStyle w:val="Marquenotebasdepage"/>
          <w:rFonts w:cs="Times New Roman"/>
          <w:color w:val="0000FF"/>
          <w:sz w:val="20"/>
          <w:szCs w:val="20"/>
          <w:lang w:val="fr-FR"/>
        </w:rPr>
        <w:footnoteReference w:id="4"/>
      </w:r>
      <w:r w:rsidR="00DA07BC">
        <w:rPr>
          <w:rFonts w:cs="Times New Roman"/>
          <w:lang w:val="fr-FR"/>
        </w:rPr>
        <w:t xml:space="preserve">. </w:t>
      </w:r>
    </w:p>
    <w:p w14:paraId="01D8B884" w14:textId="40E41908" w:rsidR="00B12AC5" w:rsidRPr="00C969FA" w:rsidRDefault="00B12AC5" w:rsidP="00492C4E">
      <w:pPr>
        <w:jc w:val="both"/>
        <w:rPr>
          <w:rFonts w:cs="Times New Roman"/>
          <w:color w:val="0000FF"/>
          <w:sz w:val="20"/>
          <w:szCs w:val="20"/>
          <w:lang w:val="fr-FR"/>
        </w:rPr>
      </w:pPr>
      <w:r>
        <w:rPr>
          <w:rFonts w:cs="Times New Roman"/>
          <w:lang w:val="fr-FR"/>
        </w:rPr>
        <w:t xml:space="preserve">Si l’article spécial prévoit une </w:t>
      </w:r>
      <w:r w:rsidR="003234F5">
        <w:rPr>
          <w:rFonts w:cs="Times New Roman"/>
          <w:lang w:val="fr-FR"/>
        </w:rPr>
        <w:t xml:space="preserve">aggravation de peine, mais qu’au moment où l’infraction a été commise, le criminel n’avait pas connaissance des faits justifiant cette aggravation, il est condamné à la peine prévu pour les personnes ordinaires. </w:t>
      </w:r>
      <w:r w:rsidR="003234F5" w:rsidRPr="00C969FA">
        <w:rPr>
          <w:rFonts w:cs="Times New Roman"/>
          <w:color w:val="0000FF"/>
          <w:sz w:val="20"/>
          <w:szCs w:val="20"/>
          <w:lang w:val="fr-FR"/>
        </w:rPr>
        <w:t xml:space="preserve">Ainsi, par exemple : un oncle et un neveu ont toujours vécu dans des lieux séparés, de sorte qu’ils ne se connaissent absolument pas ; le neveu frappe l’oncle, le blesse, et </w:t>
      </w:r>
      <w:r w:rsidR="00C76EDC" w:rsidRPr="00C969FA">
        <w:rPr>
          <w:rFonts w:cs="Times New Roman"/>
          <w:color w:val="0000FF"/>
          <w:sz w:val="20"/>
          <w:szCs w:val="20"/>
          <w:lang w:val="fr-FR"/>
        </w:rPr>
        <w:t>c’est seulement lorsqu’il est interrogé par le juge que le neveu apprend que sa victime était son once ; dans ce cas, le neveu est condamné selon l’article prévu pour les rixes entre personnes ordinaires. Ou encore : un voleur dérobe des objets dans un lieu profane</w:t>
      </w:r>
      <w:r w:rsidR="00C76EDC" w:rsidRPr="00C969FA">
        <w:rPr>
          <w:rStyle w:val="Marquenotebasdepage"/>
          <w:rFonts w:cs="Times New Roman"/>
          <w:color w:val="0000FF"/>
          <w:sz w:val="20"/>
          <w:szCs w:val="20"/>
          <w:lang w:val="fr-FR"/>
        </w:rPr>
        <w:footnoteReference w:id="5"/>
      </w:r>
      <w:r w:rsidR="00C969FA" w:rsidRPr="00C969FA">
        <w:rPr>
          <w:rFonts w:cs="Times New Roman"/>
          <w:color w:val="0000FF"/>
          <w:sz w:val="20"/>
          <w:szCs w:val="20"/>
          <w:lang w:val="fr-FR"/>
        </w:rPr>
        <w:t xml:space="preserve">, et il s’avère que ce sont des objets d’un culte consacré aux mannes impériales. Dans un tel cas, où il n’y avait pas connaissance du fait aggravant lors de l’infraction, on condamne </w:t>
      </w:r>
      <w:r w:rsidR="00C969FA" w:rsidRPr="00C969FA">
        <w:rPr>
          <w:rFonts w:cs="Times New Roman"/>
          <w:b/>
          <w:color w:val="0000FF"/>
          <w:sz w:val="20"/>
          <w:szCs w:val="20"/>
          <w:lang w:val="fr-FR"/>
        </w:rPr>
        <w:t xml:space="preserve">selon le droit ordinaire (le droit commun : </w:t>
      </w:r>
      <w:r w:rsidR="00C969FA" w:rsidRPr="00C969FA">
        <w:rPr>
          <w:rFonts w:cs="Times New Roman" w:hint="eastAsia"/>
          <w:b/>
          <w:color w:val="0000FF"/>
          <w:sz w:val="20"/>
          <w:szCs w:val="20"/>
          <w:lang w:val="fr-FR"/>
        </w:rPr>
        <w:t>依凡論</w:t>
      </w:r>
      <w:r w:rsidR="00C969FA" w:rsidRPr="00C969FA">
        <w:rPr>
          <w:rFonts w:cs="Times New Roman"/>
          <w:b/>
          <w:color w:val="0000FF"/>
          <w:sz w:val="20"/>
          <w:szCs w:val="20"/>
          <w:lang w:val="fr-FR"/>
        </w:rPr>
        <w:t>)</w:t>
      </w:r>
      <w:r w:rsidR="00C969FA" w:rsidRPr="00C969FA">
        <w:rPr>
          <w:rFonts w:cs="Times New Roman" w:hint="eastAsia"/>
          <w:color w:val="0000FF"/>
          <w:sz w:val="20"/>
          <w:szCs w:val="20"/>
          <w:lang w:val="fr-FR"/>
        </w:rPr>
        <w:t>，</w:t>
      </w:r>
      <w:r w:rsidR="00C969FA" w:rsidRPr="00C969FA">
        <w:rPr>
          <w:rFonts w:cs="Times New Roman"/>
          <w:color w:val="0000FF"/>
          <w:sz w:val="20"/>
          <w:szCs w:val="20"/>
          <w:lang w:val="fr-FR"/>
        </w:rPr>
        <w:t xml:space="preserve">avec l’article sur le </w:t>
      </w:r>
      <w:r w:rsidR="00C969FA" w:rsidRPr="00C969FA">
        <w:rPr>
          <w:rFonts w:cs="Times New Roman"/>
          <w:b/>
          <w:color w:val="0000FF"/>
          <w:sz w:val="20"/>
          <w:szCs w:val="20"/>
          <w:lang w:val="fr-FR"/>
        </w:rPr>
        <w:t>vol simple (</w:t>
      </w:r>
      <w:r w:rsidR="00C969FA" w:rsidRPr="00C969FA">
        <w:rPr>
          <w:rFonts w:cs="Times New Roman" w:hint="eastAsia"/>
          <w:b/>
          <w:color w:val="0000FF"/>
          <w:sz w:val="20"/>
          <w:szCs w:val="20"/>
          <w:lang w:val="fr-FR"/>
        </w:rPr>
        <w:t>同常倒律</w:t>
      </w:r>
      <w:r w:rsidR="00C969FA" w:rsidRPr="00C969FA">
        <w:rPr>
          <w:rFonts w:cs="Times New Roman"/>
          <w:b/>
          <w:color w:val="0000FF"/>
          <w:sz w:val="20"/>
          <w:szCs w:val="20"/>
          <w:lang w:val="fr-FR"/>
        </w:rPr>
        <w:t>)</w:t>
      </w:r>
      <w:r w:rsidR="00C969FA" w:rsidRPr="00C969FA">
        <w:rPr>
          <w:rFonts w:cs="Times New Roman"/>
          <w:color w:val="0000FF"/>
          <w:sz w:val="20"/>
          <w:szCs w:val="20"/>
          <w:lang w:val="fr-FR"/>
        </w:rPr>
        <w:t>.</w:t>
      </w:r>
    </w:p>
    <w:p w14:paraId="078B1FF4" w14:textId="23B44316" w:rsidR="00AC59AE" w:rsidRPr="00397846" w:rsidRDefault="00B34615" w:rsidP="00492C4E">
      <w:pPr>
        <w:jc w:val="both"/>
        <w:rPr>
          <w:rFonts w:cs="Times New Roman"/>
          <w:color w:val="0000FF"/>
          <w:sz w:val="20"/>
          <w:szCs w:val="20"/>
          <w:lang w:val="fr-FR"/>
        </w:rPr>
      </w:pPr>
      <w:r>
        <w:rPr>
          <w:rFonts w:cs="Times New Roman"/>
          <w:lang w:val="fr-FR"/>
        </w:rPr>
        <w:t>Quand l’article spécial prévoit un allégement de peine</w:t>
      </w:r>
      <w:r w:rsidR="00397846">
        <w:rPr>
          <w:rFonts w:cs="Times New Roman"/>
          <w:lang w:val="fr-FR"/>
        </w:rPr>
        <w:t xml:space="preserve">, il faut suivre cet article.  </w:t>
      </w:r>
      <w:r w:rsidR="00397846" w:rsidRPr="00397846">
        <w:rPr>
          <w:rFonts w:cs="Times New Roman"/>
          <w:color w:val="0000FF"/>
          <w:sz w:val="20"/>
          <w:szCs w:val="20"/>
          <w:lang w:val="fr-FR"/>
        </w:rPr>
        <w:t>A</w:t>
      </w:r>
      <w:r w:rsidRPr="00397846">
        <w:rPr>
          <w:rFonts w:cs="Times New Roman"/>
          <w:color w:val="0000FF"/>
          <w:sz w:val="20"/>
          <w:szCs w:val="20"/>
          <w:lang w:val="fr-FR"/>
        </w:rPr>
        <w:t xml:space="preserve">insi par exemple, un père </w:t>
      </w:r>
      <w:r w:rsidR="00397846" w:rsidRPr="00397846">
        <w:rPr>
          <w:rFonts w:cs="Times New Roman"/>
          <w:color w:val="0000FF"/>
          <w:sz w:val="20"/>
          <w:szCs w:val="20"/>
          <w:lang w:val="fr-FR"/>
        </w:rPr>
        <w:t xml:space="preserve">qui </w:t>
      </w:r>
      <w:r w:rsidRPr="00397846">
        <w:rPr>
          <w:rFonts w:cs="Times New Roman"/>
          <w:color w:val="0000FF"/>
          <w:sz w:val="20"/>
          <w:szCs w:val="20"/>
          <w:lang w:val="fr-FR"/>
        </w:rPr>
        <w:t xml:space="preserve">frappe son fils sans </w:t>
      </w:r>
      <w:r w:rsidR="00397846" w:rsidRPr="00397846">
        <w:rPr>
          <w:rFonts w:cs="Times New Roman"/>
          <w:color w:val="0000FF"/>
          <w:sz w:val="20"/>
          <w:szCs w:val="20"/>
          <w:lang w:val="fr-FR"/>
        </w:rPr>
        <w:t xml:space="preserve">le connaître et n’apprend que c’est son </w:t>
      </w:r>
      <w:r w:rsidRPr="00397846">
        <w:rPr>
          <w:rFonts w:cs="Times New Roman"/>
          <w:color w:val="0000FF"/>
          <w:sz w:val="20"/>
          <w:szCs w:val="20"/>
          <w:lang w:val="fr-FR"/>
        </w:rPr>
        <w:t>fils qu’</w:t>
      </w:r>
      <w:r w:rsidR="00397846" w:rsidRPr="00397846">
        <w:rPr>
          <w:rFonts w:cs="Times New Roman"/>
          <w:color w:val="0000FF"/>
          <w:sz w:val="20"/>
          <w:szCs w:val="20"/>
          <w:lang w:val="fr-FR"/>
        </w:rPr>
        <w:t xml:space="preserve">après l’avoir frappé, n’a fait </w:t>
      </w:r>
      <w:r w:rsidR="00397846">
        <w:rPr>
          <w:rFonts w:cs="Times New Roman"/>
          <w:color w:val="0000FF"/>
          <w:sz w:val="20"/>
          <w:szCs w:val="20"/>
          <w:lang w:val="fr-FR"/>
        </w:rPr>
        <w:t xml:space="preserve">aux yeux de la loi </w:t>
      </w:r>
      <w:r w:rsidR="00397846" w:rsidRPr="00397846">
        <w:rPr>
          <w:rFonts w:cs="Times New Roman"/>
          <w:color w:val="0000FF"/>
          <w:sz w:val="20"/>
          <w:szCs w:val="20"/>
          <w:lang w:val="fr-FR"/>
        </w:rPr>
        <w:t xml:space="preserve">que frapper son fils, il ne doit pas être condamné pour </w:t>
      </w:r>
      <w:r w:rsidR="00397846">
        <w:rPr>
          <w:rFonts w:cs="Times New Roman"/>
          <w:color w:val="0000FF"/>
          <w:sz w:val="20"/>
          <w:szCs w:val="20"/>
          <w:lang w:val="fr-FR"/>
        </w:rPr>
        <w:t>avoir frappé une personne ordinaire.</w:t>
      </w:r>
      <w:r w:rsidR="00397846" w:rsidRPr="00397846">
        <w:rPr>
          <w:rFonts w:cs="Times New Roman"/>
          <w:color w:val="0000FF"/>
          <w:sz w:val="20"/>
          <w:szCs w:val="20"/>
          <w:lang w:val="fr-FR"/>
        </w:rPr>
        <w:t xml:space="preserve">  </w:t>
      </w:r>
    </w:p>
    <w:sectPr w:rsidR="00AC59AE" w:rsidRPr="00397846" w:rsidSect="00582BF3">
      <w:footerReference w:type="even" r:id="rId17"/>
      <w:footerReference w:type="default" r:id="rId18"/>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C9EC88" w14:textId="77777777" w:rsidR="00883273" w:rsidRDefault="00883273" w:rsidP="00480D61">
      <w:pPr>
        <w:spacing w:after="0"/>
      </w:pPr>
      <w:r>
        <w:separator/>
      </w:r>
    </w:p>
  </w:endnote>
  <w:endnote w:type="continuationSeparator" w:id="0">
    <w:p w14:paraId="2C3EF41C" w14:textId="77777777" w:rsidR="00883273" w:rsidRDefault="00883273" w:rsidP="00480D6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宋体">
    <w:charset w:val="50"/>
    <w:family w:val="auto"/>
    <w:pitch w:val="variable"/>
    <w:sig w:usb0="00000003" w:usb1="288F0000" w:usb2="00000016" w:usb3="00000000" w:csb0="00040001" w:csb1="00000000"/>
  </w:font>
  <w:font w:name="Times">
    <w:panose1 w:val="02000500000000000000"/>
    <w:charset w:val="00"/>
    <w:family w:val="auto"/>
    <w:pitch w:val="variable"/>
    <w:sig w:usb0="00000003" w:usb1="00000000" w:usb2="00000000" w:usb3="00000000" w:csb0="00000001" w:csb1="00000000"/>
  </w:font>
  <w:font w:name="儷宋 Pro">
    <w:charset w:val="51"/>
    <w:family w:val="auto"/>
    <w:pitch w:val="variable"/>
    <w:sig w:usb0="80000001" w:usb1="28091800" w:usb2="00000016" w:usb3="00000000" w:csb0="00100000" w:csb1="00000000"/>
  </w:font>
  <w:font w:name="新細明體">
    <w:charset w:val="51"/>
    <w:family w:val="auto"/>
    <w:pitch w:val="variable"/>
    <w:sig w:usb0="00000001" w:usb1="08080000" w:usb2="00000010" w:usb3="00000000" w:csb0="00100000" w:csb1="00000000"/>
  </w:font>
  <w:font w:name="PMingLiU">
    <w:altName w:val="新細明體"/>
    <w:charset w:val="88"/>
    <w:family w:val="roman"/>
    <w:pitch w:val="variable"/>
    <w:sig w:usb0="00000003" w:usb1="082E0000" w:usb2="00000016" w:usb3="00000000" w:csb0="00100001" w:csb1="00000000"/>
  </w:font>
  <w:font w:name="細明體">
    <w:charset w:val="51"/>
    <w:family w:val="auto"/>
    <w:pitch w:val="variable"/>
    <w:sig w:usb0="A00002FF" w:usb1="28CFFCFA" w:usb2="00000016" w:usb3="00000000" w:csb0="00100001" w:csb1="00000000"/>
  </w:font>
  <w:font w:name="Kaiti SC Black">
    <w:panose1 w:val="02010800040101010101"/>
    <w:charset w:val="00"/>
    <w:family w:val="auto"/>
    <w:pitch w:val="variable"/>
    <w:sig w:usb0="00000003" w:usb1="080F0000" w:usb2="00000000" w:usb3="00000000" w:csb0="0004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7B93C5" w14:textId="77777777" w:rsidR="00883273" w:rsidRDefault="00883273" w:rsidP="00480D61">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20CDFD4F" w14:textId="77777777" w:rsidR="00883273" w:rsidRDefault="00883273">
    <w:pPr>
      <w:pStyle w:val="Pieddepag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54EBAE" w14:textId="77777777" w:rsidR="00883273" w:rsidRDefault="00883273" w:rsidP="00480D61">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275D2C">
      <w:rPr>
        <w:rStyle w:val="Numrodepage"/>
        <w:noProof/>
      </w:rPr>
      <w:t>1</w:t>
    </w:r>
    <w:r>
      <w:rPr>
        <w:rStyle w:val="Numrodepage"/>
      </w:rPr>
      <w:fldChar w:fldCharType="end"/>
    </w:r>
  </w:p>
  <w:p w14:paraId="2D0322A5" w14:textId="77777777" w:rsidR="00883273" w:rsidRDefault="00883273">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6BBC79" w14:textId="77777777" w:rsidR="00883273" w:rsidRDefault="00883273" w:rsidP="00480D61">
      <w:pPr>
        <w:spacing w:after="0"/>
      </w:pPr>
      <w:r>
        <w:separator/>
      </w:r>
    </w:p>
  </w:footnote>
  <w:footnote w:type="continuationSeparator" w:id="0">
    <w:p w14:paraId="5D9FAE61" w14:textId="77777777" w:rsidR="00883273" w:rsidRDefault="00883273" w:rsidP="00480D61">
      <w:pPr>
        <w:spacing w:after="0"/>
      </w:pPr>
      <w:r>
        <w:continuationSeparator/>
      </w:r>
    </w:p>
  </w:footnote>
  <w:footnote w:id="1">
    <w:p w14:paraId="5E5D0905" w14:textId="62485581" w:rsidR="00883273" w:rsidRPr="003E2F70" w:rsidRDefault="00883273">
      <w:pPr>
        <w:pStyle w:val="Notedebasdepage"/>
        <w:rPr>
          <w:lang w:val="fr-FR"/>
        </w:rPr>
      </w:pPr>
      <w:r>
        <w:rPr>
          <w:rStyle w:val="Marquenotebasdepage"/>
        </w:rPr>
        <w:footnoteRef/>
      </w:r>
      <w:r>
        <w:t xml:space="preserve"> </w:t>
      </w:r>
      <w:r>
        <w:rPr>
          <w:rFonts w:cs="Times New Roman"/>
          <w:shd w:val="clear" w:color="auto" w:fill="FFFFFF"/>
        </w:rPr>
        <w:t>w</w:t>
      </w:r>
      <w:r w:rsidRPr="008473A1">
        <w:rPr>
          <w:rFonts w:cs="Times New Roman"/>
          <w:shd w:val="clear" w:color="auto" w:fill="FFFFFF"/>
        </w:rPr>
        <w:t>ǎngfǎ</w:t>
      </w:r>
      <w:r w:rsidRPr="008473A1">
        <w:rPr>
          <w:rFonts w:cs="Times New Roman"/>
        </w:rPr>
        <w:t xml:space="preserve">  </w:t>
      </w:r>
      <w:r w:rsidRPr="008473A1">
        <w:rPr>
          <w:rFonts w:cs="Times New Roman"/>
        </w:rPr>
        <w:t>枉法</w:t>
      </w:r>
      <w:r w:rsidRPr="008473A1">
        <w:rPr>
          <w:rFonts w:cs="Times New Roman"/>
        </w:rPr>
        <w:t> </w:t>
      </w:r>
      <w:r>
        <w:rPr>
          <w:rFonts w:cs="Times New Roman"/>
        </w:rPr>
        <w:t xml:space="preserve">: ce terme est déjà dans le glossaire, avec la traduction: “prévarication”, qui est douteuse, car la prévarication </w:t>
      </w:r>
      <w:r w:rsidRPr="008473A1">
        <w:rPr>
          <w:rFonts w:eastAsia="PMingLiU" w:cs="Times New Roman"/>
        </w:rPr>
        <w:t>, i.e</w:t>
      </w:r>
      <w:r>
        <w:rPr>
          <w:rFonts w:eastAsia="PMingLiU" w:cs="Times New Roman"/>
        </w:rPr>
        <w:t>.</w:t>
      </w:r>
      <w:r w:rsidRPr="008473A1">
        <w:rPr>
          <w:rFonts w:eastAsia="PMingLiU" w:cs="Times New Roman"/>
        </w:rPr>
        <w:t>,</w:t>
      </w:r>
      <w:r>
        <w:rPr>
          <w:rFonts w:cs="Times New Roman"/>
        </w:rPr>
        <w:t xml:space="preserve"> </w:t>
      </w:r>
      <w:r w:rsidRPr="008473A1">
        <w:rPr>
          <w:rFonts w:cs="Times New Roman"/>
        </w:rPr>
        <w:t xml:space="preserve">faute consistant pour le détenteur d'une charge ou d'un mandat à </w:t>
      </w:r>
      <w:r w:rsidRPr="005A6F93">
        <w:rPr>
          <w:rFonts w:cs="Times New Roman"/>
          <w:b/>
        </w:rPr>
        <w:t xml:space="preserve">accomplir sciemment un manquement grave aux obligations résultant de cette charge ou de ce </w:t>
      </w:r>
      <w:r>
        <w:rPr>
          <w:rFonts w:cs="Times New Roman"/>
          <w:b/>
        </w:rPr>
        <w:t xml:space="preserve">mandat” </w:t>
      </w:r>
      <w:r>
        <w:rPr>
          <w:rFonts w:cs="Times New Roman"/>
        </w:rPr>
        <w:t>n’est pas equivalent à wangfa, qui suppose un détournement de la loi à des fins privées.</w:t>
      </w:r>
    </w:p>
  </w:footnote>
  <w:footnote w:id="2">
    <w:p w14:paraId="3643E7FD" w14:textId="00A2F10A" w:rsidR="00883273" w:rsidRPr="0018021D" w:rsidRDefault="00883273">
      <w:pPr>
        <w:pStyle w:val="Notedebasdepage"/>
        <w:rPr>
          <w:lang w:val="fr-FR"/>
        </w:rPr>
      </w:pPr>
      <w:r>
        <w:rPr>
          <w:rStyle w:val="Marquenotebasdepage"/>
        </w:rPr>
        <w:footnoteRef/>
      </w:r>
      <w:r>
        <w:t xml:space="preserve"> </w:t>
      </w:r>
      <w:r>
        <w:rPr>
          <w:lang w:val="fr-FR"/>
        </w:rPr>
        <w:t>devient tiaoli 1 dans le DLCY</w:t>
      </w:r>
    </w:p>
  </w:footnote>
  <w:footnote w:id="3">
    <w:p w14:paraId="237E0EFD" w14:textId="09A11A55" w:rsidR="00883273" w:rsidRDefault="00883273">
      <w:pPr>
        <w:pStyle w:val="Notedebasdepage"/>
        <w:rPr>
          <w:lang w:val="fr-FR"/>
        </w:rPr>
      </w:pPr>
      <w:r>
        <w:rPr>
          <w:rStyle w:val="Marquenotebasdepage"/>
        </w:rPr>
        <w:footnoteRef/>
      </w:r>
      <w:r>
        <w:t xml:space="preserve"> </w:t>
      </w:r>
      <w:r>
        <w:rPr>
          <w:lang w:val="fr-FR"/>
        </w:rPr>
        <w:t xml:space="preserve">Le titre chinois est allusif : bentiao, l’article applicable à l’infraction, situé dans une des six parties du code spécialisées dans tel ou tel type d’infractions, prévoit une peine différente d’un autre article, situé dans la partie générale </w:t>
      </w:r>
      <w:r>
        <w:rPr>
          <w:rFonts w:hint="eastAsia"/>
          <w:lang w:val="fr-FR"/>
        </w:rPr>
        <w:t>名例</w:t>
      </w:r>
      <w:r>
        <w:rPr>
          <w:lang w:val="fr-FR"/>
        </w:rPr>
        <w:t xml:space="preserve"> qui contient les modèles de dénominations pénales et de calcul des sentences. Il faut soit ignorer la différence dans le titre, en laissant le lecteur la découvrir dans l’article ; soit ajouter le terme manquant de la différence dans le titre, ce que fait Philastre, au prix d’une longue périphrase : « Du cas où l’article applicable contient quelque disposition différente des règles de définition », tandis que Jiang Yonglin opte pour une solution bancale : « Specific articles having different regulations for punishments » — or, ce ne sont pas les « specific articles » qui ont des dispositions différentes, mais un article spécial avec un article plus général. Le titre que je propose élude la difficulté pour ne retenir que l’essentiel : le conflit de normes. </w:t>
      </w:r>
    </w:p>
    <w:p w14:paraId="286638AF" w14:textId="70450AD3" w:rsidR="00883273" w:rsidRPr="00897EF2" w:rsidRDefault="00883273">
      <w:pPr>
        <w:pStyle w:val="Notedebasdepage"/>
        <w:rPr>
          <w:lang w:val="fr-FR"/>
        </w:rPr>
      </w:pPr>
      <w:r>
        <w:rPr>
          <w:lang w:val="fr-FR"/>
        </w:rPr>
        <w:t xml:space="preserve">autre remarque: l’expression « article applicable » utilisée par Philastre pour traduire </w:t>
      </w:r>
      <w:r>
        <w:rPr>
          <w:rFonts w:hint="eastAsia"/>
          <w:lang w:val="fr-FR"/>
        </w:rPr>
        <w:t>本條</w:t>
      </w:r>
      <w:r>
        <w:rPr>
          <w:lang w:val="fr-FR"/>
        </w:rPr>
        <w:t xml:space="preserve"> est tentante, car juste sur le plan linguistique ; mais sur le plan logique, l’autre article situé dans les </w:t>
      </w:r>
      <w:r>
        <w:rPr>
          <w:rFonts w:hint="eastAsia"/>
          <w:lang w:val="fr-FR"/>
        </w:rPr>
        <w:t>名例</w:t>
      </w:r>
      <w:r>
        <w:rPr>
          <w:rFonts w:hint="eastAsia"/>
          <w:lang w:val="fr-FR"/>
        </w:rPr>
        <w:t xml:space="preserve"> </w:t>
      </w:r>
      <w:r>
        <w:rPr>
          <w:lang w:val="fr-FR"/>
        </w:rPr>
        <w:t xml:space="preserve">est non moins applicable a priori — c’est précisément le fait d’être placé dans une partie spéciale qui rend le </w:t>
      </w:r>
      <w:r>
        <w:rPr>
          <w:rFonts w:hint="eastAsia"/>
          <w:lang w:val="fr-FR"/>
        </w:rPr>
        <w:t>本條</w:t>
      </w:r>
      <w:r>
        <w:rPr>
          <w:lang w:val="fr-FR"/>
        </w:rPr>
        <w:t xml:space="preserve"> plus applicable que l’autre ; d’où ma traduction : « article spécial ».</w:t>
      </w:r>
    </w:p>
  </w:footnote>
  <w:footnote w:id="4">
    <w:p w14:paraId="6D00F3F6" w14:textId="54BC73F9" w:rsidR="00883273" w:rsidRPr="003234F5" w:rsidRDefault="00883273">
      <w:pPr>
        <w:pStyle w:val="Notedebasdepage"/>
        <w:rPr>
          <w:lang w:val="fr-FR"/>
        </w:rPr>
      </w:pPr>
      <w:r>
        <w:rPr>
          <w:rStyle w:val="Marquenotebasdepage"/>
        </w:rPr>
        <w:footnoteRef/>
      </w:r>
      <w:r>
        <w:t xml:space="preserve"> </w:t>
      </w:r>
      <w:r>
        <w:rPr>
          <w:lang w:val="fr-FR"/>
        </w:rPr>
        <w:t xml:space="preserve">Il y a une entorse à la logique : suivre la peine la plus grave— que celle qu’on a voulu éviter (superlatif/comparatif) ; mais elle est dans l’original, à cause du « petit commentaire » surajouté. </w:t>
      </w:r>
    </w:p>
  </w:footnote>
  <w:footnote w:id="5">
    <w:p w14:paraId="11F8A2C8" w14:textId="19679B9C" w:rsidR="00883273" w:rsidRPr="00C76EDC" w:rsidRDefault="00883273">
      <w:pPr>
        <w:pStyle w:val="Notedebasdepage"/>
        <w:rPr>
          <w:lang w:val="fr-FR"/>
        </w:rPr>
      </w:pPr>
      <w:r>
        <w:rPr>
          <w:rStyle w:val="Marquenotebasdepage"/>
        </w:rPr>
        <w:footnoteRef/>
      </w:r>
      <w:r>
        <w:t xml:space="preserve"> </w:t>
      </w:r>
      <w:r>
        <w:rPr>
          <w:rFonts w:cs="Times New Roman"/>
          <w:lang w:val="fr-FR"/>
        </w:rPr>
        <w:t>lit. un lieu « autre » : autre que celui où l’on s’attendrait à trouver ce qui suit.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defaultTabStop w:val="708"/>
  <w:hyphenationZone w:val="425"/>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CF4"/>
    <w:rsid w:val="0000046E"/>
    <w:rsid w:val="0001486F"/>
    <w:rsid w:val="00053E4D"/>
    <w:rsid w:val="00076ADD"/>
    <w:rsid w:val="00091CF4"/>
    <w:rsid w:val="000D230E"/>
    <w:rsid w:val="000D457E"/>
    <w:rsid w:val="000E6630"/>
    <w:rsid w:val="00134F56"/>
    <w:rsid w:val="0018021D"/>
    <w:rsid w:val="001E7753"/>
    <w:rsid w:val="002114FD"/>
    <w:rsid w:val="002307EF"/>
    <w:rsid w:val="002358FD"/>
    <w:rsid w:val="00272562"/>
    <w:rsid w:val="00275D2C"/>
    <w:rsid w:val="002B468A"/>
    <w:rsid w:val="002E466C"/>
    <w:rsid w:val="00303421"/>
    <w:rsid w:val="0031395F"/>
    <w:rsid w:val="003234F5"/>
    <w:rsid w:val="0032752E"/>
    <w:rsid w:val="00397846"/>
    <w:rsid w:val="003E2F70"/>
    <w:rsid w:val="00422372"/>
    <w:rsid w:val="00480D61"/>
    <w:rsid w:val="004860F2"/>
    <w:rsid w:val="00486455"/>
    <w:rsid w:val="00492C4E"/>
    <w:rsid w:val="00496B99"/>
    <w:rsid w:val="004B7974"/>
    <w:rsid w:val="004E1C9D"/>
    <w:rsid w:val="004F6AA4"/>
    <w:rsid w:val="00515413"/>
    <w:rsid w:val="00582BF3"/>
    <w:rsid w:val="005D0D75"/>
    <w:rsid w:val="00615DF8"/>
    <w:rsid w:val="00632FCC"/>
    <w:rsid w:val="00644A65"/>
    <w:rsid w:val="006B3498"/>
    <w:rsid w:val="006F47FD"/>
    <w:rsid w:val="00700937"/>
    <w:rsid w:val="00793DDA"/>
    <w:rsid w:val="007D64EC"/>
    <w:rsid w:val="00837222"/>
    <w:rsid w:val="008436B4"/>
    <w:rsid w:val="00883273"/>
    <w:rsid w:val="008930D1"/>
    <w:rsid w:val="00897EF2"/>
    <w:rsid w:val="008F0DE0"/>
    <w:rsid w:val="00910A0E"/>
    <w:rsid w:val="00940D4F"/>
    <w:rsid w:val="009568F0"/>
    <w:rsid w:val="00973D99"/>
    <w:rsid w:val="00A5699A"/>
    <w:rsid w:val="00A62DA9"/>
    <w:rsid w:val="00A704C7"/>
    <w:rsid w:val="00A77C68"/>
    <w:rsid w:val="00AB5133"/>
    <w:rsid w:val="00AC3C64"/>
    <w:rsid w:val="00AC59AE"/>
    <w:rsid w:val="00AF1BAA"/>
    <w:rsid w:val="00B12AC5"/>
    <w:rsid w:val="00B136F4"/>
    <w:rsid w:val="00B34615"/>
    <w:rsid w:val="00B34FA0"/>
    <w:rsid w:val="00B705B5"/>
    <w:rsid w:val="00B86DCE"/>
    <w:rsid w:val="00BD121E"/>
    <w:rsid w:val="00C04759"/>
    <w:rsid w:val="00C352BC"/>
    <w:rsid w:val="00C45776"/>
    <w:rsid w:val="00C62D8B"/>
    <w:rsid w:val="00C720C9"/>
    <w:rsid w:val="00C76EDC"/>
    <w:rsid w:val="00C83361"/>
    <w:rsid w:val="00C90339"/>
    <w:rsid w:val="00C969FA"/>
    <w:rsid w:val="00CB43E7"/>
    <w:rsid w:val="00CE1429"/>
    <w:rsid w:val="00D26324"/>
    <w:rsid w:val="00D417AD"/>
    <w:rsid w:val="00D671C5"/>
    <w:rsid w:val="00D95D2B"/>
    <w:rsid w:val="00DA07BC"/>
    <w:rsid w:val="00DF3B89"/>
    <w:rsid w:val="00DF6CC7"/>
    <w:rsid w:val="00E13DE8"/>
    <w:rsid w:val="00E25893"/>
    <w:rsid w:val="00E77CE8"/>
    <w:rsid w:val="00EF223A"/>
    <w:rsid w:val="00F00D74"/>
    <w:rsid w:val="00F16D36"/>
    <w:rsid w:val="00F35651"/>
    <w:rsid w:val="00F77C6A"/>
    <w:rsid w:val="00FB6CC4"/>
    <w:rsid w:val="00FE71F6"/>
    <w:rsid w:val="00FF6D75"/>
    <w:rsid w:val="00FF7B3E"/>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2766B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fr-FR"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68F0"/>
    <w:rPr>
      <w:rFonts w:ascii="Times New Roman" w:hAnsi="Times New Roman"/>
      <w:sz w:val="24"/>
      <w:szCs w:val="24"/>
      <w:lang w:val="en-US" w:eastAsia="zh-TW"/>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itation">
    <w:name w:val="citation"/>
    <w:basedOn w:val="Normal"/>
    <w:qFormat/>
    <w:rsid w:val="008F0DE0"/>
    <w:pPr>
      <w:spacing w:before="100" w:beforeAutospacing="1"/>
      <w:ind w:left="567"/>
    </w:pPr>
    <w:rPr>
      <w:rFonts w:eastAsia="宋体"/>
      <w:sz w:val="22"/>
    </w:rPr>
  </w:style>
  <w:style w:type="paragraph" w:styleId="NormalWeb">
    <w:name w:val="Normal (Web)"/>
    <w:basedOn w:val="Normal"/>
    <w:uiPriority w:val="99"/>
    <w:semiHidden/>
    <w:unhideWhenUsed/>
    <w:rsid w:val="00091CF4"/>
    <w:pPr>
      <w:spacing w:before="100" w:beforeAutospacing="1" w:after="100" w:afterAutospacing="1"/>
    </w:pPr>
    <w:rPr>
      <w:rFonts w:ascii="Times" w:hAnsi="Times" w:cs="Times New Roman"/>
      <w:sz w:val="20"/>
      <w:szCs w:val="20"/>
      <w:lang w:val="fr-FR" w:eastAsia="fr-FR"/>
    </w:rPr>
  </w:style>
  <w:style w:type="character" w:styleId="Lienhypertexte">
    <w:name w:val="Hyperlink"/>
    <w:basedOn w:val="Policepardfaut"/>
    <w:uiPriority w:val="99"/>
    <w:semiHidden/>
    <w:unhideWhenUsed/>
    <w:rsid w:val="00091CF4"/>
    <w:rPr>
      <w:color w:val="0000FF"/>
      <w:u w:val="single"/>
    </w:rPr>
  </w:style>
  <w:style w:type="paragraph" w:styleId="Pieddepage">
    <w:name w:val="footer"/>
    <w:basedOn w:val="Normal"/>
    <w:link w:val="PieddepageCar"/>
    <w:uiPriority w:val="99"/>
    <w:unhideWhenUsed/>
    <w:rsid w:val="00480D61"/>
    <w:pPr>
      <w:tabs>
        <w:tab w:val="center" w:pos="4536"/>
        <w:tab w:val="right" w:pos="9072"/>
      </w:tabs>
      <w:spacing w:after="0"/>
    </w:pPr>
  </w:style>
  <w:style w:type="character" w:customStyle="1" w:styleId="PieddepageCar">
    <w:name w:val="Pied de page Car"/>
    <w:basedOn w:val="Policepardfaut"/>
    <w:link w:val="Pieddepage"/>
    <w:uiPriority w:val="99"/>
    <w:rsid w:val="00480D61"/>
    <w:rPr>
      <w:rFonts w:ascii="Times New Roman" w:hAnsi="Times New Roman"/>
      <w:sz w:val="24"/>
      <w:szCs w:val="24"/>
      <w:lang w:val="en-US" w:eastAsia="zh-TW"/>
    </w:rPr>
  </w:style>
  <w:style w:type="character" w:styleId="Numrodepage">
    <w:name w:val="page number"/>
    <w:basedOn w:val="Policepardfaut"/>
    <w:uiPriority w:val="99"/>
    <w:semiHidden/>
    <w:unhideWhenUsed/>
    <w:rsid w:val="00480D61"/>
  </w:style>
  <w:style w:type="paragraph" w:styleId="Notedebasdepage">
    <w:name w:val="footnote text"/>
    <w:basedOn w:val="Normal"/>
    <w:link w:val="NotedebasdepageCar"/>
    <w:uiPriority w:val="99"/>
    <w:unhideWhenUsed/>
    <w:rsid w:val="0018021D"/>
    <w:pPr>
      <w:spacing w:after="0"/>
    </w:pPr>
  </w:style>
  <w:style w:type="character" w:customStyle="1" w:styleId="NotedebasdepageCar">
    <w:name w:val="Note de bas de page Car"/>
    <w:basedOn w:val="Policepardfaut"/>
    <w:link w:val="Notedebasdepage"/>
    <w:uiPriority w:val="99"/>
    <w:rsid w:val="0018021D"/>
    <w:rPr>
      <w:rFonts w:ascii="Times New Roman" w:hAnsi="Times New Roman"/>
      <w:sz w:val="24"/>
      <w:szCs w:val="24"/>
      <w:lang w:val="en-US" w:eastAsia="zh-TW"/>
    </w:rPr>
  </w:style>
  <w:style w:type="character" w:styleId="Marquenotebasdepage">
    <w:name w:val="footnote reference"/>
    <w:basedOn w:val="Policepardfaut"/>
    <w:uiPriority w:val="99"/>
    <w:unhideWhenUsed/>
    <w:rsid w:val="0018021D"/>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fr-FR"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68F0"/>
    <w:rPr>
      <w:rFonts w:ascii="Times New Roman" w:hAnsi="Times New Roman"/>
      <w:sz w:val="24"/>
      <w:szCs w:val="24"/>
      <w:lang w:val="en-US" w:eastAsia="zh-TW"/>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itation">
    <w:name w:val="citation"/>
    <w:basedOn w:val="Normal"/>
    <w:qFormat/>
    <w:rsid w:val="008F0DE0"/>
    <w:pPr>
      <w:spacing w:before="100" w:beforeAutospacing="1"/>
      <w:ind w:left="567"/>
    </w:pPr>
    <w:rPr>
      <w:rFonts w:eastAsia="宋体"/>
      <w:sz w:val="22"/>
    </w:rPr>
  </w:style>
  <w:style w:type="paragraph" w:styleId="NormalWeb">
    <w:name w:val="Normal (Web)"/>
    <w:basedOn w:val="Normal"/>
    <w:uiPriority w:val="99"/>
    <w:semiHidden/>
    <w:unhideWhenUsed/>
    <w:rsid w:val="00091CF4"/>
    <w:pPr>
      <w:spacing w:before="100" w:beforeAutospacing="1" w:after="100" w:afterAutospacing="1"/>
    </w:pPr>
    <w:rPr>
      <w:rFonts w:ascii="Times" w:hAnsi="Times" w:cs="Times New Roman"/>
      <w:sz w:val="20"/>
      <w:szCs w:val="20"/>
      <w:lang w:val="fr-FR" w:eastAsia="fr-FR"/>
    </w:rPr>
  </w:style>
  <w:style w:type="character" w:styleId="Lienhypertexte">
    <w:name w:val="Hyperlink"/>
    <w:basedOn w:val="Policepardfaut"/>
    <w:uiPriority w:val="99"/>
    <w:semiHidden/>
    <w:unhideWhenUsed/>
    <w:rsid w:val="00091CF4"/>
    <w:rPr>
      <w:color w:val="0000FF"/>
      <w:u w:val="single"/>
    </w:rPr>
  </w:style>
  <w:style w:type="paragraph" w:styleId="Pieddepage">
    <w:name w:val="footer"/>
    <w:basedOn w:val="Normal"/>
    <w:link w:val="PieddepageCar"/>
    <w:uiPriority w:val="99"/>
    <w:unhideWhenUsed/>
    <w:rsid w:val="00480D61"/>
    <w:pPr>
      <w:tabs>
        <w:tab w:val="center" w:pos="4536"/>
        <w:tab w:val="right" w:pos="9072"/>
      </w:tabs>
      <w:spacing w:after="0"/>
    </w:pPr>
  </w:style>
  <w:style w:type="character" w:customStyle="1" w:styleId="PieddepageCar">
    <w:name w:val="Pied de page Car"/>
    <w:basedOn w:val="Policepardfaut"/>
    <w:link w:val="Pieddepage"/>
    <w:uiPriority w:val="99"/>
    <w:rsid w:val="00480D61"/>
    <w:rPr>
      <w:rFonts w:ascii="Times New Roman" w:hAnsi="Times New Roman"/>
      <w:sz w:val="24"/>
      <w:szCs w:val="24"/>
      <w:lang w:val="en-US" w:eastAsia="zh-TW"/>
    </w:rPr>
  </w:style>
  <w:style w:type="character" w:styleId="Numrodepage">
    <w:name w:val="page number"/>
    <w:basedOn w:val="Policepardfaut"/>
    <w:uiPriority w:val="99"/>
    <w:semiHidden/>
    <w:unhideWhenUsed/>
    <w:rsid w:val="00480D61"/>
  </w:style>
  <w:style w:type="paragraph" w:styleId="Notedebasdepage">
    <w:name w:val="footnote text"/>
    <w:basedOn w:val="Normal"/>
    <w:link w:val="NotedebasdepageCar"/>
    <w:uiPriority w:val="99"/>
    <w:unhideWhenUsed/>
    <w:rsid w:val="0018021D"/>
    <w:pPr>
      <w:spacing w:after="0"/>
    </w:pPr>
  </w:style>
  <w:style w:type="character" w:customStyle="1" w:styleId="NotedebasdepageCar">
    <w:name w:val="Note de bas de page Car"/>
    <w:basedOn w:val="Policepardfaut"/>
    <w:link w:val="Notedebasdepage"/>
    <w:uiPriority w:val="99"/>
    <w:rsid w:val="0018021D"/>
    <w:rPr>
      <w:rFonts w:ascii="Times New Roman" w:hAnsi="Times New Roman"/>
      <w:sz w:val="24"/>
      <w:szCs w:val="24"/>
      <w:lang w:val="en-US" w:eastAsia="zh-TW"/>
    </w:rPr>
  </w:style>
  <w:style w:type="character" w:styleId="Marquenotebasdepage">
    <w:name w:val="footnote reference"/>
    <w:basedOn w:val="Policepardfaut"/>
    <w:uiPriority w:val="99"/>
    <w:unhideWhenUsed/>
    <w:rsid w:val="0018021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98493">
      <w:bodyDiv w:val="1"/>
      <w:marLeft w:val="0"/>
      <w:marRight w:val="0"/>
      <w:marTop w:val="0"/>
      <w:marBottom w:val="0"/>
      <w:divBdr>
        <w:top w:val="none" w:sz="0" w:space="0" w:color="auto"/>
        <w:left w:val="none" w:sz="0" w:space="0" w:color="auto"/>
        <w:bottom w:val="none" w:sz="0" w:space="0" w:color="auto"/>
        <w:right w:val="none" w:sz="0" w:space="0" w:color="auto"/>
      </w:divBdr>
      <w:divsChild>
        <w:div w:id="130447101">
          <w:marLeft w:val="0"/>
          <w:marRight w:val="0"/>
          <w:marTop w:val="0"/>
          <w:marBottom w:val="0"/>
          <w:divBdr>
            <w:top w:val="none" w:sz="0" w:space="0" w:color="auto"/>
            <w:left w:val="none" w:sz="0" w:space="0" w:color="auto"/>
            <w:bottom w:val="none" w:sz="0" w:space="0" w:color="auto"/>
            <w:right w:val="none" w:sz="0" w:space="0" w:color="auto"/>
          </w:divBdr>
          <w:divsChild>
            <w:div w:id="5639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80088">
      <w:bodyDiv w:val="1"/>
      <w:marLeft w:val="0"/>
      <w:marRight w:val="0"/>
      <w:marTop w:val="0"/>
      <w:marBottom w:val="0"/>
      <w:divBdr>
        <w:top w:val="none" w:sz="0" w:space="0" w:color="auto"/>
        <w:left w:val="none" w:sz="0" w:space="0" w:color="auto"/>
        <w:bottom w:val="none" w:sz="0" w:space="0" w:color="auto"/>
        <w:right w:val="none" w:sz="0" w:space="0" w:color="auto"/>
      </w:divBdr>
      <w:divsChild>
        <w:div w:id="1792553077">
          <w:marLeft w:val="0"/>
          <w:marRight w:val="0"/>
          <w:marTop w:val="0"/>
          <w:marBottom w:val="0"/>
          <w:divBdr>
            <w:top w:val="none" w:sz="0" w:space="0" w:color="auto"/>
            <w:left w:val="none" w:sz="0" w:space="0" w:color="auto"/>
            <w:bottom w:val="none" w:sz="0" w:space="0" w:color="auto"/>
            <w:right w:val="none" w:sz="0" w:space="0" w:color="auto"/>
          </w:divBdr>
          <w:divsChild>
            <w:div w:id="189283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23877">
      <w:bodyDiv w:val="1"/>
      <w:marLeft w:val="0"/>
      <w:marRight w:val="0"/>
      <w:marTop w:val="0"/>
      <w:marBottom w:val="0"/>
      <w:divBdr>
        <w:top w:val="none" w:sz="0" w:space="0" w:color="auto"/>
        <w:left w:val="none" w:sz="0" w:space="0" w:color="auto"/>
        <w:bottom w:val="none" w:sz="0" w:space="0" w:color="auto"/>
        <w:right w:val="none" w:sz="0" w:space="0" w:color="auto"/>
      </w:divBdr>
      <w:divsChild>
        <w:div w:id="525677448">
          <w:marLeft w:val="0"/>
          <w:marRight w:val="0"/>
          <w:marTop w:val="0"/>
          <w:marBottom w:val="0"/>
          <w:divBdr>
            <w:top w:val="none" w:sz="0" w:space="0" w:color="auto"/>
            <w:left w:val="none" w:sz="0" w:space="0" w:color="auto"/>
            <w:bottom w:val="none" w:sz="0" w:space="0" w:color="auto"/>
            <w:right w:val="none" w:sz="0" w:space="0" w:color="auto"/>
          </w:divBdr>
          <w:divsChild>
            <w:div w:id="154235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04290">
      <w:bodyDiv w:val="1"/>
      <w:marLeft w:val="0"/>
      <w:marRight w:val="0"/>
      <w:marTop w:val="0"/>
      <w:marBottom w:val="0"/>
      <w:divBdr>
        <w:top w:val="none" w:sz="0" w:space="0" w:color="auto"/>
        <w:left w:val="none" w:sz="0" w:space="0" w:color="auto"/>
        <w:bottom w:val="none" w:sz="0" w:space="0" w:color="auto"/>
        <w:right w:val="none" w:sz="0" w:space="0" w:color="auto"/>
      </w:divBdr>
      <w:divsChild>
        <w:div w:id="470446241">
          <w:marLeft w:val="0"/>
          <w:marRight w:val="0"/>
          <w:marTop w:val="0"/>
          <w:marBottom w:val="0"/>
          <w:divBdr>
            <w:top w:val="none" w:sz="0" w:space="0" w:color="auto"/>
            <w:left w:val="none" w:sz="0" w:space="0" w:color="auto"/>
            <w:bottom w:val="none" w:sz="0" w:space="0" w:color="auto"/>
            <w:right w:val="none" w:sz="0" w:space="0" w:color="auto"/>
          </w:divBdr>
          <w:divsChild>
            <w:div w:id="56402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93208">
      <w:bodyDiv w:val="1"/>
      <w:marLeft w:val="0"/>
      <w:marRight w:val="0"/>
      <w:marTop w:val="0"/>
      <w:marBottom w:val="0"/>
      <w:divBdr>
        <w:top w:val="none" w:sz="0" w:space="0" w:color="auto"/>
        <w:left w:val="none" w:sz="0" w:space="0" w:color="auto"/>
        <w:bottom w:val="none" w:sz="0" w:space="0" w:color="auto"/>
        <w:right w:val="none" w:sz="0" w:space="0" w:color="auto"/>
      </w:divBdr>
      <w:divsChild>
        <w:div w:id="419563594">
          <w:marLeft w:val="0"/>
          <w:marRight w:val="0"/>
          <w:marTop w:val="0"/>
          <w:marBottom w:val="0"/>
          <w:divBdr>
            <w:top w:val="none" w:sz="0" w:space="0" w:color="auto"/>
            <w:left w:val="none" w:sz="0" w:space="0" w:color="auto"/>
            <w:bottom w:val="none" w:sz="0" w:space="0" w:color="auto"/>
            <w:right w:val="none" w:sz="0" w:space="0" w:color="auto"/>
          </w:divBdr>
          <w:divsChild>
            <w:div w:id="44820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875063">
      <w:bodyDiv w:val="1"/>
      <w:marLeft w:val="0"/>
      <w:marRight w:val="0"/>
      <w:marTop w:val="0"/>
      <w:marBottom w:val="0"/>
      <w:divBdr>
        <w:top w:val="none" w:sz="0" w:space="0" w:color="auto"/>
        <w:left w:val="none" w:sz="0" w:space="0" w:color="auto"/>
        <w:bottom w:val="none" w:sz="0" w:space="0" w:color="auto"/>
        <w:right w:val="none" w:sz="0" w:space="0" w:color="auto"/>
      </w:divBdr>
      <w:divsChild>
        <w:div w:id="123431293">
          <w:marLeft w:val="0"/>
          <w:marRight w:val="0"/>
          <w:marTop w:val="0"/>
          <w:marBottom w:val="0"/>
          <w:divBdr>
            <w:top w:val="none" w:sz="0" w:space="0" w:color="auto"/>
            <w:left w:val="none" w:sz="0" w:space="0" w:color="auto"/>
            <w:bottom w:val="none" w:sz="0" w:space="0" w:color="auto"/>
            <w:right w:val="none" w:sz="0" w:space="0" w:color="auto"/>
          </w:divBdr>
          <w:divsChild>
            <w:div w:id="167372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112512">
      <w:bodyDiv w:val="1"/>
      <w:marLeft w:val="0"/>
      <w:marRight w:val="0"/>
      <w:marTop w:val="0"/>
      <w:marBottom w:val="0"/>
      <w:divBdr>
        <w:top w:val="none" w:sz="0" w:space="0" w:color="auto"/>
        <w:left w:val="none" w:sz="0" w:space="0" w:color="auto"/>
        <w:bottom w:val="none" w:sz="0" w:space="0" w:color="auto"/>
        <w:right w:val="none" w:sz="0" w:space="0" w:color="auto"/>
      </w:divBdr>
      <w:divsChild>
        <w:div w:id="1241908171">
          <w:marLeft w:val="0"/>
          <w:marRight w:val="0"/>
          <w:marTop w:val="0"/>
          <w:marBottom w:val="0"/>
          <w:divBdr>
            <w:top w:val="none" w:sz="0" w:space="0" w:color="auto"/>
            <w:left w:val="none" w:sz="0" w:space="0" w:color="auto"/>
            <w:bottom w:val="none" w:sz="0" w:space="0" w:color="auto"/>
            <w:right w:val="none" w:sz="0" w:space="0" w:color="auto"/>
          </w:divBdr>
          <w:divsChild>
            <w:div w:id="132115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429399">
      <w:bodyDiv w:val="1"/>
      <w:marLeft w:val="0"/>
      <w:marRight w:val="0"/>
      <w:marTop w:val="0"/>
      <w:marBottom w:val="0"/>
      <w:divBdr>
        <w:top w:val="none" w:sz="0" w:space="0" w:color="auto"/>
        <w:left w:val="none" w:sz="0" w:space="0" w:color="auto"/>
        <w:bottom w:val="none" w:sz="0" w:space="0" w:color="auto"/>
        <w:right w:val="none" w:sz="0" w:space="0" w:color="auto"/>
      </w:divBdr>
      <w:divsChild>
        <w:div w:id="779761115">
          <w:marLeft w:val="0"/>
          <w:marRight w:val="0"/>
          <w:marTop w:val="0"/>
          <w:marBottom w:val="0"/>
          <w:divBdr>
            <w:top w:val="none" w:sz="0" w:space="0" w:color="auto"/>
            <w:left w:val="none" w:sz="0" w:space="0" w:color="auto"/>
            <w:bottom w:val="none" w:sz="0" w:space="0" w:color="auto"/>
            <w:right w:val="none" w:sz="0" w:space="0" w:color="auto"/>
          </w:divBdr>
        </w:div>
      </w:divsChild>
    </w:div>
    <w:div w:id="878472915">
      <w:bodyDiv w:val="1"/>
      <w:marLeft w:val="0"/>
      <w:marRight w:val="0"/>
      <w:marTop w:val="0"/>
      <w:marBottom w:val="0"/>
      <w:divBdr>
        <w:top w:val="none" w:sz="0" w:space="0" w:color="auto"/>
        <w:left w:val="none" w:sz="0" w:space="0" w:color="auto"/>
        <w:bottom w:val="none" w:sz="0" w:space="0" w:color="auto"/>
        <w:right w:val="none" w:sz="0" w:space="0" w:color="auto"/>
      </w:divBdr>
      <w:divsChild>
        <w:div w:id="1015419166">
          <w:marLeft w:val="0"/>
          <w:marRight w:val="0"/>
          <w:marTop w:val="0"/>
          <w:marBottom w:val="0"/>
          <w:divBdr>
            <w:top w:val="none" w:sz="0" w:space="0" w:color="auto"/>
            <w:left w:val="none" w:sz="0" w:space="0" w:color="auto"/>
            <w:bottom w:val="none" w:sz="0" w:space="0" w:color="auto"/>
            <w:right w:val="none" w:sz="0" w:space="0" w:color="auto"/>
          </w:divBdr>
          <w:divsChild>
            <w:div w:id="171889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386660">
      <w:bodyDiv w:val="1"/>
      <w:marLeft w:val="0"/>
      <w:marRight w:val="0"/>
      <w:marTop w:val="0"/>
      <w:marBottom w:val="0"/>
      <w:divBdr>
        <w:top w:val="none" w:sz="0" w:space="0" w:color="auto"/>
        <w:left w:val="none" w:sz="0" w:space="0" w:color="auto"/>
        <w:bottom w:val="none" w:sz="0" w:space="0" w:color="auto"/>
        <w:right w:val="none" w:sz="0" w:space="0" w:color="auto"/>
      </w:divBdr>
      <w:divsChild>
        <w:div w:id="1348481049">
          <w:marLeft w:val="0"/>
          <w:marRight w:val="0"/>
          <w:marTop w:val="0"/>
          <w:marBottom w:val="0"/>
          <w:divBdr>
            <w:top w:val="none" w:sz="0" w:space="0" w:color="auto"/>
            <w:left w:val="none" w:sz="0" w:space="0" w:color="auto"/>
            <w:bottom w:val="none" w:sz="0" w:space="0" w:color="auto"/>
            <w:right w:val="none" w:sz="0" w:space="0" w:color="auto"/>
          </w:divBdr>
          <w:divsChild>
            <w:div w:id="192618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845576">
      <w:bodyDiv w:val="1"/>
      <w:marLeft w:val="0"/>
      <w:marRight w:val="0"/>
      <w:marTop w:val="0"/>
      <w:marBottom w:val="0"/>
      <w:divBdr>
        <w:top w:val="none" w:sz="0" w:space="0" w:color="auto"/>
        <w:left w:val="none" w:sz="0" w:space="0" w:color="auto"/>
        <w:bottom w:val="none" w:sz="0" w:space="0" w:color="auto"/>
        <w:right w:val="none" w:sz="0" w:space="0" w:color="auto"/>
      </w:divBdr>
      <w:divsChild>
        <w:div w:id="100883614">
          <w:marLeft w:val="0"/>
          <w:marRight w:val="0"/>
          <w:marTop w:val="0"/>
          <w:marBottom w:val="0"/>
          <w:divBdr>
            <w:top w:val="none" w:sz="0" w:space="0" w:color="auto"/>
            <w:left w:val="none" w:sz="0" w:space="0" w:color="auto"/>
            <w:bottom w:val="none" w:sz="0" w:space="0" w:color="auto"/>
            <w:right w:val="none" w:sz="0" w:space="0" w:color="auto"/>
          </w:divBdr>
          <w:divsChild>
            <w:div w:id="102105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623904">
      <w:bodyDiv w:val="1"/>
      <w:marLeft w:val="0"/>
      <w:marRight w:val="0"/>
      <w:marTop w:val="0"/>
      <w:marBottom w:val="0"/>
      <w:divBdr>
        <w:top w:val="none" w:sz="0" w:space="0" w:color="auto"/>
        <w:left w:val="none" w:sz="0" w:space="0" w:color="auto"/>
        <w:bottom w:val="none" w:sz="0" w:space="0" w:color="auto"/>
        <w:right w:val="none" w:sz="0" w:space="0" w:color="auto"/>
      </w:divBdr>
      <w:divsChild>
        <w:div w:id="1546984068">
          <w:marLeft w:val="0"/>
          <w:marRight w:val="0"/>
          <w:marTop w:val="0"/>
          <w:marBottom w:val="0"/>
          <w:divBdr>
            <w:top w:val="none" w:sz="0" w:space="0" w:color="auto"/>
            <w:left w:val="none" w:sz="0" w:space="0" w:color="auto"/>
            <w:bottom w:val="none" w:sz="0" w:space="0" w:color="auto"/>
            <w:right w:val="none" w:sz="0" w:space="0" w:color="auto"/>
          </w:divBdr>
        </w:div>
      </w:divsChild>
    </w:div>
    <w:div w:id="1554736319">
      <w:bodyDiv w:val="1"/>
      <w:marLeft w:val="0"/>
      <w:marRight w:val="0"/>
      <w:marTop w:val="0"/>
      <w:marBottom w:val="0"/>
      <w:divBdr>
        <w:top w:val="none" w:sz="0" w:space="0" w:color="auto"/>
        <w:left w:val="none" w:sz="0" w:space="0" w:color="auto"/>
        <w:bottom w:val="none" w:sz="0" w:space="0" w:color="auto"/>
        <w:right w:val="none" w:sz="0" w:space="0" w:color="auto"/>
      </w:divBdr>
      <w:divsChild>
        <w:div w:id="756219953">
          <w:marLeft w:val="0"/>
          <w:marRight w:val="0"/>
          <w:marTop w:val="0"/>
          <w:marBottom w:val="0"/>
          <w:divBdr>
            <w:top w:val="none" w:sz="0" w:space="0" w:color="auto"/>
            <w:left w:val="none" w:sz="0" w:space="0" w:color="auto"/>
            <w:bottom w:val="none" w:sz="0" w:space="0" w:color="auto"/>
            <w:right w:val="none" w:sz="0" w:space="0" w:color="auto"/>
          </w:divBdr>
        </w:div>
      </w:divsChild>
    </w:div>
    <w:div w:id="1726947440">
      <w:bodyDiv w:val="1"/>
      <w:marLeft w:val="0"/>
      <w:marRight w:val="0"/>
      <w:marTop w:val="0"/>
      <w:marBottom w:val="0"/>
      <w:divBdr>
        <w:top w:val="none" w:sz="0" w:space="0" w:color="auto"/>
        <w:left w:val="none" w:sz="0" w:space="0" w:color="auto"/>
        <w:bottom w:val="none" w:sz="0" w:space="0" w:color="auto"/>
        <w:right w:val="none" w:sz="0" w:space="0" w:color="auto"/>
      </w:divBdr>
      <w:divsChild>
        <w:div w:id="853498192">
          <w:marLeft w:val="1230"/>
          <w:marRight w:val="0"/>
          <w:marTop w:val="0"/>
          <w:marBottom w:val="0"/>
          <w:divBdr>
            <w:top w:val="none" w:sz="0" w:space="0" w:color="auto"/>
            <w:left w:val="none" w:sz="0" w:space="0" w:color="auto"/>
            <w:bottom w:val="none" w:sz="0" w:space="0" w:color="auto"/>
            <w:right w:val="none" w:sz="0" w:space="0" w:color="auto"/>
          </w:divBdr>
        </w:div>
      </w:divsChild>
    </w:div>
    <w:div w:id="1900286379">
      <w:bodyDiv w:val="1"/>
      <w:marLeft w:val="0"/>
      <w:marRight w:val="0"/>
      <w:marTop w:val="0"/>
      <w:marBottom w:val="0"/>
      <w:divBdr>
        <w:top w:val="none" w:sz="0" w:space="0" w:color="auto"/>
        <w:left w:val="none" w:sz="0" w:space="0" w:color="auto"/>
        <w:bottom w:val="none" w:sz="0" w:space="0" w:color="auto"/>
        <w:right w:val="none" w:sz="0" w:space="0" w:color="auto"/>
      </w:divBdr>
      <w:divsChild>
        <w:div w:id="1532375917">
          <w:marLeft w:val="0"/>
          <w:marRight w:val="0"/>
          <w:marTop w:val="0"/>
          <w:marBottom w:val="0"/>
          <w:divBdr>
            <w:top w:val="none" w:sz="0" w:space="0" w:color="auto"/>
            <w:left w:val="none" w:sz="0" w:space="0" w:color="auto"/>
            <w:bottom w:val="none" w:sz="0" w:space="0" w:color="auto"/>
            <w:right w:val="none" w:sz="0" w:space="0" w:color="auto"/>
          </w:divBdr>
          <w:divsChild>
            <w:div w:id="144068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942012">
      <w:bodyDiv w:val="1"/>
      <w:marLeft w:val="0"/>
      <w:marRight w:val="0"/>
      <w:marTop w:val="0"/>
      <w:marBottom w:val="0"/>
      <w:divBdr>
        <w:top w:val="none" w:sz="0" w:space="0" w:color="auto"/>
        <w:left w:val="none" w:sz="0" w:space="0" w:color="auto"/>
        <w:bottom w:val="none" w:sz="0" w:space="0" w:color="auto"/>
        <w:right w:val="none" w:sz="0" w:space="0" w:color="auto"/>
      </w:divBdr>
      <w:divsChild>
        <w:div w:id="204408362">
          <w:marLeft w:val="0"/>
          <w:marRight w:val="0"/>
          <w:marTop w:val="0"/>
          <w:marBottom w:val="0"/>
          <w:divBdr>
            <w:top w:val="none" w:sz="0" w:space="0" w:color="auto"/>
            <w:left w:val="none" w:sz="0" w:space="0" w:color="auto"/>
            <w:bottom w:val="none" w:sz="0" w:space="0" w:color="auto"/>
            <w:right w:val="none" w:sz="0" w:space="0" w:color="auto"/>
          </w:divBdr>
          <w:divsChild>
            <w:div w:id="115841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lsc.chineselegalculture.org/eC/DQLL_1740/5.6.15.415.2" TargetMode="External"/><Relationship Id="rId20" Type="http://schemas.openxmlformats.org/officeDocument/2006/relationships/theme" Target="theme/theme1.xml"/><Relationship Id="rId10" Type="http://schemas.openxmlformats.org/officeDocument/2006/relationships/hyperlink" Target="http://lsc.chineselegalculture.org/eC/DQLL_1740/5.6.15.415.3" TargetMode="External"/><Relationship Id="rId11" Type="http://schemas.openxmlformats.org/officeDocument/2006/relationships/hyperlink" Target="http://lsc.chineselegalculture.org/eC/DQLL_1740/5.6.15.415.4" TargetMode="External"/><Relationship Id="rId12" Type="http://schemas.openxmlformats.org/officeDocument/2006/relationships/hyperlink" Target="http://lsc.chineselegalculture.org/eC/DQLL_1740/5.1.2.43" TargetMode="External"/><Relationship Id="rId13" Type="http://schemas.openxmlformats.org/officeDocument/2006/relationships/hyperlink" Target="http://lsc.chineselegalculture.org/eC/DQLL_1740/5.1.2.43.1" TargetMode="External"/><Relationship Id="rId14" Type="http://schemas.openxmlformats.org/officeDocument/2006/relationships/hyperlink" Target="http://lsc.chineselegalculture.org/eC/DQLL_1740/5.1.2.44" TargetMode="External"/><Relationship Id="rId15" Type="http://schemas.openxmlformats.org/officeDocument/2006/relationships/hyperlink" Target="http://lsc.chineselegalculture.org/eC/DQLL_1740/5.1.2.44.1" TargetMode="External"/><Relationship Id="rId16" Type="http://schemas.openxmlformats.org/officeDocument/2006/relationships/hyperlink" Target="http://lsc.chineselegalculture.org/eC/DQLL_1740/5.1.2.35" TargetMode="External"/><Relationship Id="rId17" Type="http://schemas.openxmlformats.org/officeDocument/2006/relationships/footer" Target="footer1.xml"/><Relationship Id="rId18" Type="http://schemas.openxmlformats.org/officeDocument/2006/relationships/footer" Target="footer2.xml"/><Relationship Id="rId19"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lsc.chineselegalculture.org/eC/DQLL_1740/5.6.15.415" TargetMode="External"/><Relationship Id="rId8" Type="http://schemas.openxmlformats.org/officeDocument/2006/relationships/hyperlink" Target="http://lsc.chineselegalculture.org/eC/DQLL_1740/5.6.15.415.1"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1977</Words>
  <Characters>10876</Characters>
  <Application>Microsoft Macintosh Word</Application>
  <DocSecurity>0</DocSecurity>
  <Lines>90</Lines>
  <Paragraphs>25</Paragraphs>
  <ScaleCrop>false</ScaleCrop>
  <Company/>
  <LinksUpToDate>false</LinksUpToDate>
  <CharactersWithSpaces>12828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4</cp:revision>
  <cp:lastPrinted>2013-11-07T16:59:00Z</cp:lastPrinted>
  <dcterms:created xsi:type="dcterms:W3CDTF">2013-12-06T08:10:00Z</dcterms:created>
  <dcterms:modified xsi:type="dcterms:W3CDTF">2013-12-07T09:00:00Z</dcterms:modified>
</cp:coreProperties>
</file>